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32"/>
          <w:lang w:val="en-GB"/>
        </w:rPr>
        <w:alias w:val="overskrift"/>
        <w:tag w:val="Title"/>
        <w:id w:val="2065136381"/>
        <w:placeholder>
          <w:docPart w:val="4BBE5FBC53764014BC08B224A75A3AB9"/>
        </w:placeholder>
        <w:dataBinding w:prefixMappings="xmlns:gbs='http://www.software-innovation.no/growBusinessDocument'" w:xpath="/gbs:GrowBusinessDocument/gbs:Title[@gbs:key='1225477']" w:storeItemID="{C55C3F5B-1D41-4A8D-9EFC-958C10C5EC9F}"/>
        <w:text/>
      </w:sdtPr>
      <w:sdtContent>
        <w:p w14:paraId="7ECEA956" w14:textId="40FD4DA6" w:rsidR="00871633" w:rsidRPr="00037CBC" w:rsidRDefault="00871633" w:rsidP="00871633">
          <w:pPr>
            <w:pStyle w:val="Overskrift1"/>
            <w:rPr>
              <w:b w:val="0"/>
              <w:lang w:val="en-GB"/>
            </w:rPr>
          </w:pPr>
          <w:r>
            <w:rPr>
              <w:sz w:val="32"/>
              <w:lang w:val="en-GB"/>
            </w:rPr>
            <w:t>List over amendments in the HTT</w:t>
          </w:r>
        </w:p>
      </w:sdtContent>
    </w:sdt>
    <w:p w14:paraId="59434E83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B1. HTT Mortgage Assets</w:t>
      </w:r>
    </w:p>
    <w:p w14:paraId="0627E49D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3. Concentration Risks (row</w:t>
      </w:r>
      <w:r w:rsidRPr="00037CBC">
        <w:rPr>
          <w:sz w:val="24"/>
          <w:lang w:val="en-GB"/>
        </w:rPr>
        <w:t xml:space="preserve"> 35 etc.)</w:t>
      </w:r>
    </w:p>
    <w:p w14:paraId="437A1987" w14:textId="77777777" w:rsidR="00871633" w:rsidRPr="00037CBC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Added the possibility of specifying the size of the ten largest exposures exclud</w:t>
      </w:r>
      <w:r>
        <w:rPr>
          <w:sz w:val="24"/>
          <w:lang w:val="en-GB"/>
        </w:rPr>
        <w:t>ing</w:t>
      </w:r>
      <w:r w:rsidRPr="00037CBC">
        <w:rPr>
          <w:sz w:val="24"/>
          <w:lang w:val="en-GB"/>
        </w:rPr>
        <w:t xml:space="preserve"> loans to housing cooperatives.</w:t>
      </w:r>
    </w:p>
    <w:p w14:paraId="3E321640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5. Breakdo</w:t>
      </w:r>
      <w:r>
        <w:rPr>
          <w:sz w:val="24"/>
          <w:lang w:val="en-GB"/>
        </w:rPr>
        <w:t>wn by domestic regions (row 98 etc</w:t>
      </w:r>
      <w:r w:rsidRPr="00037CBC">
        <w:rPr>
          <w:sz w:val="24"/>
          <w:lang w:val="en-GB"/>
        </w:rPr>
        <w:t>.)</w:t>
      </w:r>
    </w:p>
    <w:p w14:paraId="228C76A9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Added Norwegian counties and Svalbard</w:t>
      </w:r>
      <w:r>
        <w:rPr>
          <w:sz w:val="24"/>
          <w:lang w:val="en-GB"/>
        </w:rPr>
        <w:t xml:space="preserve"> (in alphabetical order).</w:t>
      </w:r>
    </w:p>
    <w:p w14:paraId="01B0E9F8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Updated in Q1 2018 to reflect the merger between Sør-Trøndelag and Nord-Trøndelag to Trøndelag.</w:t>
      </w:r>
    </w:p>
    <w:p w14:paraId="7B0C87E3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Updated in the 2020-version to reflect the completion of the regional reform in Norway, reducing the number of counties from 19 to 11. The following mergers became effective from 1. January 2020:</w:t>
      </w:r>
    </w:p>
    <w:p w14:paraId="2AC60388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Hordaland and Sogn og F</w:t>
      </w:r>
      <w:r>
        <w:rPr>
          <w:sz w:val="24"/>
        </w:rPr>
        <w:t>jordane to Vestland</w:t>
      </w:r>
    </w:p>
    <w:p w14:paraId="098250C0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3C1F43">
        <w:rPr>
          <w:sz w:val="24"/>
          <w:lang w:val="en-US"/>
        </w:rPr>
        <w:t>Aust-Agder and Vest-A</w:t>
      </w:r>
      <w:r>
        <w:rPr>
          <w:sz w:val="24"/>
          <w:lang w:val="en-US"/>
        </w:rPr>
        <w:t>gder to Agder</w:t>
      </w:r>
    </w:p>
    <w:p w14:paraId="67608F25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Vestfold and Telemark to Vestfold og</w:t>
      </w:r>
      <w:r>
        <w:rPr>
          <w:sz w:val="24"/>
        </w:rPr>
        <w:t xml:space="preserve"> Telemark</w:t>
      </w:r>
    </w:p>
    <w:p w14:paraId="7E605D86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Oppland and Hedmark to Innlandet</w:t>
      </w:r>
    </w:p>
    <w:p w14:paraId="51F0CAC6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Buskerud, Akershus and Østfold to Viken</w:t>
      </w:r>
    </w:p>
    <w:p w14:paraId="1D9FF9C1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6B5CEE">
        <w:rPr>
          <w:sz w:val="24"/>
          <w:lang w:val="en-US"/>
        </w:rPr>
        <w:t>Troms and Fin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mark to Troms og Fi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nmark</w:t>
      </w:r>
    </w:p>
    <w:p w14:paraId="5B545DB0" w14:textId="36D11B5E" w:rsidR="009B3E65" w:rsidRDefault="009B3E65" w:rsidP="009B3E65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Updated in the 2024-versjon to reflect the partial reversal of the regional reform. This led to the following amendments:</w:t>
      </w:r>
    </w:p>
    <w:p w14:paraId="7FF52B39" w14:textId="57A23AE7" w:rsidR="009B3E65" w:rsidRDefault="009B3E65" w:rsidP="009B3E65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Viken is split into Østfold, Akershus and Buskerud</w:t>
      </w:r>
    </w:p>
    <w:p w14:paraId="6309A934" w14:textId="794C7101" w:rsidR="009B3E65" w:rsidRDefault="009B3E65" w:rsidP="009B3E65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Vestfold </w:t>
      </w:r>
      <w:r w:rsidR="00FE41D9">
        <w:rPr>
          <w:sz w:val="24"/>
          <w:lang w:val="en-US"/>
        </w:rPr>
        <w:t>og</w:t>
      </w:r>
      <w:r>
        <w:rPr>
          <w:sz w:val="24"/>
          <w:lang w:val="en-US"/>
        </w:rPr>
        <w:t xml:space="preserve"> Telemark is split into two separate counties</w:t>
      </w:r>
    </w:p>
    <w:p w14:paraId="034FC50F" w14:textId="4492512D" w:rsidR="009B3E65" w:rsidRPr="006B5CEE" w:rsidRDefault="009B3E65" w:rsidP="009B3E65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Troms </w:t>
      </w:r>
      <w:r w:rsidR="00FE41D9">
        <w:rPr>
          <w:sz w:val="24"/>
          <w:lang w:val="en-US"/>
        </w:rPr>
        <w:t>og</w:t>
      </w:r>
      <w:r>
        <w:rPr>
          <w:sz w:val="24"/>
          <w:lang w:val="en-US"/>
        </w:rPr>
        <w:t xml:space="preserve"> Finmark is split into two separate counties</w:t>
      </w:r>
    </w:p>
    <w:p w14:paraId="1D3D2334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8. Loan Seasoning</w:t>
      </w:r>
      <w:r>
        <w:rPr>
          <w:sz w:val="24"/>
          <w:lang w:val="en-GB"/>
        </w:rPr>
        <w:t xml:space="preserve"> (row</w:t>
      </w:r>
      <w:r w:rsidRPr="00037CBC">
        <w:rPr>
          <w:sz w:val="24"/>
          <w:lang w:val="en-GB"/>
        </w:rPr>
        <w:t xml:space="preserve"> 1</w:t>
      </w:r>
      <w:r>
        <w:rPr>
          <w:sz w:val="24"/>
          <w:lang w:val="en-GB"/>
        </w:rPr>
        <w:t>69</w:t>
      </w:r>
      <w:r w:rsidRPr="00037CBC">
        <w:rPr>
          <w:sz w:val="24"/>
          <w:lang w:val="en-GB"/>
        </w:rPr>
        <w:t xml:space="preserve"> </w:t>
      </w:r>
      <w:r>
        <w:rPr>
          <w:sz w:val="24"/>
          <w:lang w:val="en-GB"/>
        </w:rPr>
        <w:t>etc</w:t>
      </w:r>
      <w:r w:rsidRPr="00037CBC">
        <w:rPr>
          <w:sz w:val="24"/>
          <w:lang w:val="en-GB"/>
        </w:rPr>
        <w:t>.)</w:t>
      </w:r>
    </w:p>
    <w:p w14:paraId="4D7C3D4F" w14:textId="77777777" w:rsidR="00871633" w:rsidRPr="00037CBC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No amendments but there is a need for the issuer to specify whether the date for a loan is based on when it was established or transferred to the cover pool (</w:t>
      </w:r>
      <w:r w:rsidRPr="00037CBC">
        <w:rPr>
          <w:sz w:val="24"/>
          <w:lang w:val="en-GB"/>
        </w:rPr>
        <w:t>«C. HTT Harmonised Glossary»</w:t>
      </w:r>
      <w:r>
        <w:rPr>
          <w:sz w:val="24"/>
          <w:lang w:val="en-GB"/>
        </w:rPr>
        <w:t>, section OHG 4.4 (row 56)).</w:t>
      </w:r>
    </w:p>
    <w:p w14:paraId="3248DB1D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10. Loan Size Information (Residential Cover Pool)</w:t>
      </w:r>
      <w:r>
        <w:rPr>
          <w:sz w:val="24"/>
          <w:lang w:val="en-GB"/>
        </w:rPr>
        <w:t xml:space="preserve"> (row 185 etc.</w:t>
      </w:r>
      <w:r w:rsidRPr="00037CBC">
        <w:rPr>
          <w:sz w:val="24"/>
          <w:lang w:val="en-GB"/>
        </w:rPr>
        <w:t>)</w:t>
      </w:r>
    </w:p>
    <w:p w14:paraId="300AB217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>Added buckets based on the original Norwegian Transparency Template</w:t>
      </w:r>
    </w:p>
    <w:p w14:paraId="255EEBEE" w14:textId="77777777" w:rsidR="00871633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15. EPC – Information of the financed RRE – optional (row 286 etc.)</w:t>
      </w:r>
    </w:p>
    <w:p w14:paraId="458DDF8E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 xml:space="preserve">Added </w:t>
      </w:r>
      <w:r>
        <w:rPr>
          <w:sz w:val="24"/>
          <w:lang w:val="en-GB"/>
        </w:rPr>
        <w:t xml:space="preserve">relevant </w:t>
      </w:r>
      <w:r w:rsidRPr="009A2C44">
        <w:rPr>
          <w:sz w:val="24"/>
          <w:lang w:val="en-GB"/>
        </w:rPr>
        <w:t xml:space="preserve">buckets </w:t>
      </w:r>
      <w:r>
        <w:rPr>
          <w:sz w:val="24"/>
          <w:lang w:val="en-GB"/>
        </w:rPr>
        <w:t>for Norwegian issuers (A to G)</w:t>
      </w:r>
    </w:p>
    <w:p w14:paraId="6EC6191C" w14:textId="612BF68B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20</w:t>
      </w:r>
      <w:r w:rsidRPr="00037CBC">
        <w:rPr>
          <w:sz w:val="24"/>
          <w:lang w:val="en-GB"/>
        </w:rPr>
        <w:t>. Loan Size Information (Commercial Cover Pool) (r</w:t>
      </w:r>
      <w:r>
        <w:rPr>
          <w:sz w:val="24"/>
          <w:lang w:val="en-GB"/>
        </w:rPr>
        <w:t>ow</w:t>
      </w:r>
      <w:r w:rsidRPr="00037CBC">
        <w:rPr>
          <w:sz w:val="24"/>
          <w:lang w:val="en-GB"/>
        </w:rPr>
        <w:t xml:space="preserve"> </w:t>
      </w:r>
      <w:r>
        <w:rPr>
          <w:sz w:val="24"/>
          <w:lang w:val="en-GB"/>
        </w:rPr>
        <w:t>4</w:t>
      </w:r>
      <w:r w:rsidR="00746E1E">
        <w:rPr>
          <w:sz w:val="24"/>
          <w:lang w:val="en-GB"/>
        </w:rPr>
        <w:t>23</w:t>
      </w:r>
      <w:r>
        <w:rPr>
          <w:sz w:val="24"/>
          <w:lang w:val="en-GB"/>
        </w:rPr>
        <w:t xml:space="preserve"> etc</w:t>
      </w:r>
      <w:r w:rsidRPr="00037CBC">
        <w:rPr>
          <w:sz w:val="24"/>
          <w:lang w:val="en-GB"/>
        </w:rPr>
        <w:t>.)</w:t>
      </w:r>
    </w:p>
    <w:p w14:paraId="40BE2ECC" w14:textId="77777777" w:rsidR="00871633" w:rsidRPr="009A2C44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>Added buckets based on the original Norwegian Transparency Template</w:t>
      </w:r>
    </w:p>
    <w:p w14:paraId="5B162A0A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7C57AAFB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B2. HTT Public sector assets</w:t>
      </w:r>
    </w:p>
    <w:p w14:paraId="4A4747DC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2. Size information (r</w:t>
      </w:r>
      <w:r>
        <w:rPr>
          <w:sz w:val="24"/>
          <w:lang w:val="en-GB"/>
        </w:rPr>
        <w:t>ow</w:t>
      </w:r>
      <w:r w:rsidRPr="00037CBC">
        <w:rPr>
          <w:sz w:val="24"/>
          <w:lang w:val="en-GB"/>
        </w:rPr>
        <w:t xml:space="preserve"> 18 </w:t>
      </w:r>
      <w:r>
        <w:rPr>
          <w:sz w:val="24"/>
          <w:lang w:val="en-GB"/>
        </w:rPr>
        <w:t>etc</w:t>
      </w:r>
      <w:r w:rsidRPr="00037CBC">
        <w:rPr>
          <w:sz w:val="24"/>
          <w:lang w:val="en-GB"/>
        </w:rPr>
        <w:t>.)</w:t>
      </w:r>
    </w:p>
    <w:p w14:paraId="2B9C9352" w14:textId="77777777" w:rsidR="00871633" w:rsidRPr="009A2C44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>Added buckets based on the original Norwegian Transparency Template</w:t>
      </w:r>
    </w:p>
    <w:p w14:paraId="30CC86CF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b/>
          <w:sz w:val="24"/>
          <w:lang w:val="en-GB"/>
        </w:rPr>
      </w:pPr>
      <w:r w:rsidRPr="00037CBC">
        <w:rPr>
          <w:sz w:val="24"/>
          <w:lang w:val="en-GB"/>
        </w:rPr>
        <w:t>5. Breakdown by domestic regions (r</w:t>
      </w:r>
      <w:r>
        <w:rPr>
          <w:sz w:val="24"/>
          <w:lang w:val="en-GB"/>
        </w:rPr>
        <w:t>ow</w:t>
      </w:r>
      <w:r w:rsidRPr="00037CBC">
        <w:rPr>
          <w:sz w:val="24"/>
          <w:lang w:val="en-GB"/>
        </w:rPr>
        <w:t xml:space="preserve"> 103 </w:t>
      </w:r>
      <w:r>
        <w:rPr>
          <w:sz w:val="24"/>
          <w:lang w:val="en-GB"/>
        </w:rPr>
        <w:t>etc.</w:t>
      </w:r>
      <w:r w:rsidRPr="00037CBC">
        <w:rPr>
          <w:sz w:val="24"/>
          <w:lang w:val="en-GB"/>
        </w:rPr>
        <w:t>)</w:t>
      </w:r>
    </w:p>
    <w:p w14:paraId="315C7AC2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Added Norwegian counties and Svalbard</w:t>
      </w:r>
      <w:r>
        <w:rPr>
          <w:sz w:val="24"/>
          <w:lang w:val="en-GB"/>
        </w:rPr>
        <w:t xml:space="preserve"> (in alphabetical order).</w:t>
      </w:r>
    </w:p>
    <w:p w14:paraId="43DE29DC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Updated in Q1 2018 to reflect the merger between Sør-Trøndelag and Nord-Trøndelag to Trøndelag.</w:t>
      </w:r>
    </w:p>
    <w:p w14:paraId="3CF8BE67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lastRenderedPageBreak/>
        <w:t>Updated in the 2020-version to reflect the completion of the regional reform in Norway, reducing the number of counties from 19 to 11. The following mergers became effective from 1. January 2020:</w:t>
      </w:r>
    </w:p>
    <w:p w14:paraId="2DAD5B52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Hordaland and Sogn og F</w:t>
      </w:r>
      <w:r>
        <w:rPr>
          <w:sz w:val="24"/>
        </w:rPr>
        <w:t>jordane to Vestland</w:t>
      </w:r>
    </w:p>
    <w:p w14:paraId="6E9533D3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3C1F43">
        <w:rPr>
          <w:sz w:val="24"/>
          <w:lang w:val="en-US"/>
        </w:rPr>
        <w:t>Aust-Agder and Vest-A</w:t>
      </w:r>
      <w:r>
        <w:rPr>
          <w:sz w:val="24"/>
          <w:lang w:val="en-US"/>
        </w:rPr>
        <w:t>gder to Agder</w:t>
      </w:r>
    </w:p>
    <w:p w14:paraId="6CF21A17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Vestfold and Telemark to Vestfold og</w:t>
      </w:r>
      <w:r>
        <w:rPr>
          <w:sz w:val="24"/>
        </w:rPr>
        <w:t xml:space="preserve"> Telemark</w:t>
      </w:r>
    </w:p>
    <w:p w14:paraId="1EDFC8B0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Oppland and Hedmark to Innlandet</w:t>
      </w:r>
    </w:p>
    <w:p w14:paraId="0A22C3CF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Buskerud, Akershus and Østfold to Viken</w:t>
      </w:r>
    </w:p>
    <w:p w14:paraId="72BE94B1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6B5CEE">
        <w:rPr>
          <w:sz w:val="24"/>
          <w:lang w:val="en-US"/>
        </w:rPr>
        <w:t>Troms and Fin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mark to Troms og Fi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nmark</w:t>
      </w:r>
    </w:p>
    <w:p w14:paraId="2B54CCAE" w14:textId="77777777" w:rsidR="00FE41D9" w:rsidRDefault="00FE41D9" w:rsidP="00FE41D9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Updated in the 2024-versjon to reflect the partial reversal of the regional reform. This led to the following amendments:</w:t>
      </w:r>
    </w:p>
    <w:p w14:paraId="6F3CF138" w14:textId="77777777" w:rsidR="00FE41D9" w:rsidRDefault="00FE41D9" w:rsidP="00FE41D9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Viken is split into Østfold, Akershus and Buskerud</w:t>
      </w:r>
    </w:p>
    <w:p w14:paraId="0FFEF286" w14:textId="3051C5CB" w:rsidR="00FE41D9" w:rsidRDefault="00FE41D9" w:rsidP="00FE41D9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Vestfold og Telemark is split into two separate counties</w:t>
      </w:r>
    </w:p>
    <w:p w14:paraId="42AAB7DA" w14:textId="7E254C57" w:rsidR="00FE41D9" w:rsidRPr="006B5CEE" w:rsidRDefault="00FE41D9" w:rsidP="00FE41D9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Troms og Finmark is split into two separate counties</w:t>
      </w:r>
    </w:p>
    <w:p w14:paraId="145B48DC" w14:textId="77777777" w:rsidR="00871633" w:rsidRPr="00037CBC" w:rsidRDefault="00871633" w:rsidP="00871633">
      <w:pPr>
        <w:spacing w:line="240" w:lineRule="auto"/>
        <w:rPr>
          <w:b/>
          <w:lang w:val="en-GB"/>
        </w:rPr>
      </w:pPr>
    </w:p>
    <w:p w14:paraId="0D06CB75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B3. HTT Shipping Assets</w:t>
      </w:r>
    </w:p>
    <w:p w14:paraId="58B80F6F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No amendments</w:t>
      </w:r>
    </w:p>
    <w:p w14:paraId="2834FD8D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13EFD71A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731BC1DB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C3. HHT Harmonised Glossary</w:t>
      </w:r>
    </w:p>
    <w:p w14:paraId="0AE8DE5B" w14:textId="77777777" w:rsidR="00871633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Added definitions</w:t>
      </w:r>
      <w:r w:rsidRPr="00E431D6">
        <w:rPr>
          <w:sz w:val="24"/>
          <w:lang w:val="en-GB"/>
        </w:rPr>
        <w:t xml:space="preserve"> </w:t>
      </w:r>
      <w:r w:rsidRPr="009A2C44">
        <w:rPr>
          <w:sz w:val="24"/>
          <w:lang w:val="en-GB"/>
        </w:rPr>
        <w:t>based on the original Norwegian Transparency Template</w:t>
      </w:r>
      <w:r>
        <w:rPr>
          <w:sz w:val="24"/>
          <w:lang w:val="en-GB"/>
        </w:rPr>
        <w:t>. The issuer will still need to define for instance hedging strategy and seasoning.</w:t>
      </w:r>
    </w:p>
    <w:p w14:paraId="22A6FCD6" w14:textId="77777777" w:rsidR="00871633" w:rsidRDefault="00871633" w:rsidP="00871633">
      <w:pPr>
        <w:spacing w:line="240" w:lineRule="auto"/>
        <w:rPr>
          <w:lang w:val="en-GB"/>
        </w:rPr>
      </w:pPr>
    </w:p>
    <w:p w14:paraId="7B3E64EC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23B2A101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D. Nat Trans Templ (National Transparency Template)</w:t>
      </w:r>
    </w:p>
    <w:p w14:paraId="475AD9BD" w14:textId="1A26168E" w:rsidR="00A764EA" w:rsidRPr="00871633" w:rsidRDefault="00871633" w:rsidP="006F27C9">
      <w:pPr>
        <w:pStyle w:val="Listeavsnitt"/>
        <w:numPr>
          <w:ilvl w:val="0"/>
          <w:numId w:val="3"/>
        </w:numPr>
        <w:spacing w:after="0" w:line="240" w:lineRule="auto"/>
        <w:rPr>
          <w:lang w:val="en-GB"/>
        </w:rPr>
      </w:pPr>
      <w:r w:rsidRPr="0017426A">
        <w:rPr>
          <w:sz w:val="24"/>
          <w:lang w:val="en-GB"/>
        </w:rPr>
        <w:t>Added a stress test which concerns a house price decline of 10, 20 and 30 percent. Also added the possibility of inserting comments from the issuer.</w:t>
      </w:r>
    </w:p>
    <w:sectPr w:rsidR="00A764EA" w:rsidRPr="00871633" w:rsidSect="000150B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552" w:right="1191" w:bottom="1134" w:left="1559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A2B9" w14:textId="77777777" w:rsidR="001E58E3" w:rsidRDefault="001E58E3">
      <w:r>
        <w:separator/>
      </w:r>
    </w:p>
  </w:endnote>
  <w:endnote w:type="continuationSeparator" w:id="0">
    <w:p w14:paraId="449B48AD" w14:textId="77777777" w:rsidR="001E58E3" w:rsidRDefault="001E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altName w:val="Merriweather Light"/>
    <w:charset w:val="00"/>
    <w:family w:val="auto"/>
    <w:pitch w:val="variable"/>
    <w:sig w:usb0="20000207" w:usb1="00000002" w:usb2="00000000" w:usb3="00000000" w:csb0="00000197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8932" w14:textId="77777777" w:rsidR="00D228C7" w:rsidRPr="000150B7" w:rsidRDefault="006F27C9" w:rsidP="00DB76F7">
    <w:pPr>
      <w:pStyle w:val="Bunntekst"/>
      <w:rPr>
        <w:rFonts w:ascii="Merriweather Light" w:hAnsi="Merriweather Light"/>
        <w:sz w:val="16"/>
        <w:szCs w:val="16"/>
      </w:rPr>
    </w:pPr>
    <w:r>
      <w:rPr>
        <w:rFonts w:ascii="Merriweather Light" w:hAnsi="Merriweather Light"/>
        <w:sz w:val="16"/>
        <w:szCs w:val="16"/>
      </w:rPr>
      <w:t>Page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8E57BE" w:rsidRPr="000150B7">
      <w:rPr>
        <w:rFonts w:ascii="Merriweather Light" w:hAnsi="Merriweather Light"/>
        <w:sz w:val="16"/>
        <w:szCs w:val="16"/>
      </w:rPr>
      <w:fldChar w:fldCharType="begin"/>
    </w:r>
    <w:r w:rsidR="008E57BE" w:rsidRPr="000150B7">
      <w:rPr>
        <w:rFonts w:ascii="Merriweather Light" w:hAnsi="Merriweather Light"/>
        <w:sz w:val="16"/>
        <w:szCs w:val="16"/>
      </w:rPr>
      <w:instrText xml:space="preserve"> PAGE </w:instrText>
    </w:r>
    <w:r w:rsidR="008E57BE" w:rsidRPr="000150B7">
      <w:rPr>
        <w:rFonts w:ascii="Merriweather Light" w:hAnsi="Merriweather Light"/>
        <w:sz w:val="16"/>
        <w:szCs w:val="16"/>
      </w:rPr>
      <w:fldChar w:fldCharType="separate"/>
    </w:r>
    <w:r w:rsidR="00D33CE7" w:rsidRPr="000150B7">
      <w:rPr>
        <w:rFonts w:ascii="Merriweather Light" w:hAnsi="Merriweather Light"/>
        <w:sz w:val="16"/>
        <w:szCs w:val="16"/>
      </w:rPr>
      <w:t>2</w:t>
    </w:r>
    <w:r w:rsidR="008E57BE" w:rsidRPr="000150B7">
      <w:rPr>
        <w:rFonts w:ascii="Merriweather Light" w:hAnsi="Merriweather Light"/>
        <w:sz w:val="16"/>
        <w:szCs w:val="16"/>
      </w:rPr>
      <w:fldChar w:fldCharType="end"/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>
      <w:rPr>
        <w:rFonts w:ascii="Merriweather Light" w:hAnsi="Merriweather Light"/>
        <w:sz w:val="16"/>
        <w:szCs w:val="16"/>
      </w:rPr>
      <w:t>of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8E57BE" w:rsidRPr="000150B7">
      <w:rPr>
        <w:rFonts w:ascii="Merriweather Light" w:hAnsi="Merriweather Light"/>
        <w:sz w:val="16"/>
        <w:szCs w:val="16"/>
      </w:rPr>
      <w:fldChar w:fldCharType="begin"/>
    </w:r>
    <w:r w:rsidR="008E57BE" w:rsidRPr="000150B7">
      <w:rPr>
        <w:rFonts w:ascii="Merriweather Light" w:hAnsi="Merriweather Light"/>
        <w:sz w:val="16"/>
        <w:szCs w:val="16"/>
      </w:rPr>
      <w:instrText xml:space="preserve"> NUMPAGES </w:instrText>
    </w:r>
    <w:r w:rsidR="008E57BE" w:rsidRPr="000150B7">
      <w:rPr>
        <w:rFonts w:ascii="Merriweather Light" w:hAnsi="Merriweather Light"/>
        <w:sz w:val="16"/>
        <w:szCs w:val="16"/>
      </w:rPr>
      <w:fldChar w:fldCharType="separate"/>
    </w:r>
    <w:r w:rsidR="00D33CE7" w:rsidRPr="000150B7">
      <w:rPr>
        <w:rFonts w:ascii="Merriweather Light" w:hAnsi="Merriweather Light"/>
        <w:sz w:val="16"/>
        <w:szCs w:val="16"/>
      </w:rPr>
      <w:t>2</w:t>
    </w:r>
    <w:r w:rsidR="008E57BE" w:rsidRPr="000150B7">
      <w:rPr>
        <w:rFonts w:ascii="Merriweather Light" w:hAnsi="Merriweather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9AD0" w14:textId="77777777" w:rsidR="00A54E33" w:rsidRPr="000150B7" w:rsidRDefault="006F27C9" w:rsidP="003F0D4E">
    <w:pPr>
      <w:pStyle w:val="Bunntekst"/>
      <w:rPr>
        <w:rFonts w:ascii="Merriweather Light" w:hAnsi="Merriweather Light"/>
        <w:sz w:val="16"/>
        <w:szCs w:val="16"/>
      </w:rPr>
    </w:pPr>
    <w:r>
      <w:rPr>
        <w:rFonts w:ascii="Merriweather Light" w:hAnsi="Merriweather Light"/>
        <w:sz w:val="16"/>
        <w:szCs w:val="16"/>
      </w:rPr>
      <w:t>Page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C66272" w:rsidRPr="000150B7">
      <w:rPr>
        <w:rFonts w:ascii="Merriweather Light" w:hAnsi="Merriweather Light"/>
        <w:sz w:val="16"/>
        <w:szCs w:val="16"/>
      </w:rPr>
      <w:fldChar w:fldCharType="begin"/>
    </w:r>
    <w:r w:rsidR="008509A9" w:rsidRPr="000150B7">
      <w:rPr>
        <w:rFonts w:ascii="Merriweather Light" w:hAnsi="Merriweather Light"/>
        <w:sz w:val="16"/>
        <w:szCs w:val="16"/>
      </w:rPr>
      <w:instrText xml:space="preserve"> PAGE </w:instrText>
    </w:r>
    <w:r w:rsidR="00C66272" w:rsidRPr="000150B7">
      <w:rPr>
        <w:rFonts w:ascii="Merriweather Light" w:hAnsi="Merriweather Light"/>
        <w:sz w:val="16"/>
        <w:szCs w:val="16"/>
      </w:rPr>
      <w:fldChar w:fldCharType="separate"/>
    </w:r>
    <w:r w:rsidR="00132BE3" w:rsidRPr="000150B7">
      <w:rPr>
        <w:rFonts w:ascii="Merriweather Light" w:hAnsi="Merriweather Light"/>
        <w:sz w:val="16"/>
        <w:szCs w:val="16"/>
      </w:rPr>
      <w:t>1</w:t>
    </w:r>
    <w:r w:rsidR="00C66272" w:rsidRPr="000150B7">
      <w:rPr>
        <w:rFonts w:ascii="Merriweather Light" w:hAnsi="Merriweather Light"/>
        <w:sz w:val="16"/>
        <w:szCs w:val="16"/>
      </w:rPr>
      <w:fldChar w:fldCharType="end"/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>
      <w:rPr>
        <w:rFonts w:ascii="Merriweather Light" w:hAnsi="Merriweather Light"/>
        <w:sz w:val="16"/>
        <w:szCs w:val="16"/>
      </w:rPr>
      <w:t>of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C66272" w:rsidRPr="000150B7">
      <w:rPr>
        <w:rFonts w:ascii="Merriweather Light" w:hAnsi="Merriweather Light"/>
        <w:sz w:val="16"/>
        <w:szCs w:val="16"/>
      </w:rPr>
      <w:fldChar w:fldCharType="begin"/>
    </w:r>
    <w:r w:rsidR="008509A9" w:rsidRPr="000150B7">
      <w:rPr>
        <w:rFonts w:ascii="Merriweather Light" w:hAnsi="Merriweather Light"/>
        <w:sz w:val="16"/>
        <w:szCs w:val="16"/>
      </w:rPr>
      <w:instrText xml:space="preserve"> NUMPAGES </w:instrText>
    </w:r>
    <w:r w:rsidR="00C66272" w:rsidRPr="000150B7">
      <w:rPr>
        <w:rFonts w:ascii="Merriweather Light" w:hAnsi="Merriweather Light"/>
        <w:sz w:val="16"/>
        <w:szCs w:val="16"/>
      </w:rPr>
      <w:fldChar w:fldCharType="separate"/>
    </w:r>
    <w:r w:rsidR="00132BE3" w:rsidRPr="000150B7">
      <w:rPr>
        <w:rFonts w:ascii="Merriweather Light" w:hAnsi="Merriweather Light"/>
        <w:sz w:val="16"/>
        <w:szCs w:val="16"/>
      </w:rPr>
      <w:t>1</w:t>
    </w:r>
    <w:r w:rsidR="00C66272" w:rsidRPr="000150B7">
      <w:rPr>
        <w:rFonts w:ascii="Merriweather Light" w:hAnsi="Merriweather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A451" w14:textId="77777777" w:rsidR="001E58E3" w:rsidRDefault="001E58E3">
      <w:r>
        <w:separator/>
      </w:r>
    </w:p>
  </w:footnote>
  <w:footnote w:type="continuationSeparator" w:id="0">
    <w:p w14:paraId="6DB67A8D" w14:textId="77777777" w:rsidR="001E58E3" w:rsidRDefault="001E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A770" w14:textId="77777777" w:rsidR="00D228C7" w:rsidRDefault="006F27C9">
    <w:pPr>
      <w:pStyle w:val="Topptekst"/>
    </w:pPr>
    <w:r>
      <w:rPr>
        <w:noProof/>
      </w:rPr>
      <w:drawing>
        <wp:anchor distT="0" distB="0" distL="114300" distR="114300" simplePos="0" relativeHeight="251667968" behindDoc="0" locked="0" layoutInCell="1" allowOverlap="1" wp14:anchorId="028C6B84" wp14:editId="6005642B">
          <wp:simplePos x="0" y="0"/>
          <wp:positionH relativeFrom="column">
            <wp:posOffset>4249607</wp:posOffset>
          </wp:positionH>
          <wp:positionV relativeFrom="paragraph">
            <wp:posOffset>307975</wp:posOffset>
          </wp:positionV>
          <wp:extent cx="1726752" cy="250981"/>
          <wp:effectExtent l="0" t="0" r="698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52" cy="25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FC5A" w14:textId="77777777" w:rsidR="00D228C7" w:rsidRDefault="006F27C9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9E0AED3" wp14:editId="4B9FA008">
          <wp:simplePos x="0" y="0"/>
          <wp:positionH relativeFrom="column">
            <wp:posOffset>3336078</wp:posOffset>
          </wp:positionH>
          <wp:positionV relativeFrom="paragraph">
            <wp:posOffset>257399</wp:posOffset>
          </wp:positionV>
          <wp:extent cx="2599200" cy="378000"/>
          <wp:effectExtent l="0" t="0" r="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03FC"/>
    <w:multiLevelType w:val="hybridMultilevel"/>
    <w:tmpl w:val="569057F8"/>
    <w:lvl w:ilvl="0" w:tplc="19006868">
      <w:start w:val="1"/>
      <w:numFmt w:val="decimal"/>
      <w:pStyle w:val="Nummerert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C982564">
      <w:numFmt w:val="none"/>
      <w:pStyle w:val="Nummerertlisteunderpunkt"/>
      <w:lvlText w:val=""/>
      <w:lvlJc w:val="left"/>
      <w:pPr>
        <w:tabs>
          <w:tab w:val="num" w:pos="360"/>
        </w:tabs>
      </w:pPr>
    </w:lvl>
    <w:lvl w:ilvl="2" w:tplc="FA1A7182">
      <w:numFmt w:val="none"/>
      <w:pStyle w:val="Nummerertlisteunderpunktdbl"/>
      <w:lvlText w:val=""/>
      <w:lvlJc w:val="left"/>
      <w:pPr>
        <w:tabs>
          <w:tab w:val="num" w:pos="360"/>
        </w:tabs>
      </w:pPr>
    </w:lvl>
    <w:lvl w:ilvl="3" w:tplc="F432CA80">
      <w:numFmt w:val="none"/>
      <w:lvlText w:val=""/>
      <w:lvlJc w:val="left"/>
      <w:pPr>
        <w:tabs>
          <w:tab w:val="num" w:pos="360"/>
        </w:tabs>
      </w:pPr>
    </w:lvl>
    <w:lvl w:ilvl="4" w:tplc="2ABE161E">
      <w:numFmt w:val="none"/>
      <w:lvlText w:val=""/>
      <w:lvlJc w:val="left"/>
      <w:pPr>
        <w:tabs>
          <w:tab w:val="num" w:pos="360"/>
        </w:tabs>
      </w:pPr>
    </w:lvl>
    <w:lvl w:ilvl="5" w:tplc="D7429B70">
      <w:numFmt w:val="none"/>
      <w:lvlText w:val=""/>
      <w:lvlJc w:val="left"/>
      <w:pPr>
        <w:tabs>
          <w:tab w:val="num" w:pos="360"/>
        </w:tabs>
      </w:pPr>
    </w:lvl>
    <w:lvl w:ilvl="6" w:tplc="AB10263C">
      <w:numFmt w:val="none"/>
      <w:lvlText w:val=""/>
      <w:lvlJc w:val="left"/>
      <w:pPr>
        <w:tabs>
          <w:tab w:val="num" w:pos="360"/>
        </w:tabs>
      </w:pPr>
    </w:lvl>
    <w:lvl w:ilvl="7" w:tplc="2B5E02D4">
      <w:numFmt w:val="none"/>
      <w:lvlText w:val=""/>
      <w:lvlJc w:val="left"/>
      <w:pPr>
        <w:tabs>
          <w:tab w:val="num" w:pos="360"/>
        </w:tabs>
      </w:pPr>
    </w:lvl>
    <w:lvl w:ilvl="8" w:tplc="C83C4F4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F8D6E66"/>
    <w:multiLevelType w:val="multilevel"/>
    <w:tmpl w:val="9640AFD8"/>
    <w:lvl w:ilvl="0">
      <w:start w:val="1"/>
      <w:numFmt w:val="decimal"/>
      <w:pStyle w:val="Normalpktmarg"/>
      <w:suff w:val="space"/>
      <w:lvlText w:val="%1."/>
      <w:lvlJc w:val="left"/>
      <w:pPr>
        <w:ind w:left="0" w:hanging="141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626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"/>
        </w:tabs>
        <w:ind w:left="-19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2"/>
        </w:tabs>
        <w:ind w:left="310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02"/>
        </w:tabs>
        <w:ind w:left="814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62"/>
        </w:tabs>
        <w:ind w:left="1318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82"/>
        </w:tabs>
        <w:ind w:left="1822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42"/>
        </w:tabs>
        <w:ind w:left="2326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62"/>
        </w:tabs>
        <w:ind w:left="2902" w:hanging="1440"/>
      </w:pPr>
      <w:rPr>
        <w:rFonts w:hint="default"/>
      </w:rPr>
    </w:lvl>
  </w:abstractNum>
  <w:abstractNum w:abstractNumId="2" w15:restartNumberingAfterBreak="0">
    <w:nsid w:val="301B35E0"/>
    <w:multiLevelType w:val="hybridMultilevel"/>
    <w:tmpl w:val="B4CA4CF6"/>
    <w:lvl w:ilvl="0" w:tplc="0D5AAF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07716">
    <w:abstractNumId w:val="0"/>
  </w:num>
  <w:num w:numId="2" w16cid:durableId="683633434">
    <w:abstractNumId w:val="1"/>
  </w:num>
  <w:num w:numId="3" w16cid:durableId="9451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62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33"/>
    <w:rsid w:val="00002E8B"/>
    <w:rsid w:val="000150B7"/>
    <w:rsid w:val="00015DAE"/>
    <w:rsid w:val="0002309F"/>
    <w:rsid w:val="000250E2"/>
    <w:rsid w:val="00032969"/>
    <w:rsid w:val="00037EBE"/>
    <w:rsid w:val="00045955"/>
    <w:rsid w:val="0007342A"/>
    <w:rsid w:val="000909A1"/>
    <w:rsid w:val="000966CC"/>
    <w:rsid w:val="00096EB1"/>
    <w:rsid w:val="000A131B"/>
    <w:rsid w:val="000A41D0"/>
    <w:rsid w:val="000C385D"/>
    <w:rsid w:val="000F0E33"/>
    <w:rsid w:val="000F1E5D"/>
    <w:rsid w:val="001005A0"/>
    <w:rsid w:val="00111CAF"/>
    <w:rsid w:val="00122790"/>
    <w:rsid w:val="00132BE3"/>
    <w:rsid w:val="001404D1"/>
    <w:rsid w:val="00162AE4"/>
    <w:rsid w:val="00173CB4"/>
    <w:rsid w:val="00174FDF"/>
    <w:rsid w:val="001B2F60"/>
    <w:rsid w:val="001D79F5"/>
    <w:rsid w:val="001E58E3"/>
    <w:rsid w:val="001E767C"/>
    <w:rsid w:val="001F10D8"/>
    <w:rsid w:val="001F38B1"/>
    <w:rsid w:val="00206E2B"/>
    <w:rsid w:val="002220B3"/>
    <w:rsid w:val="00235EB7"/>
    <w:rsid w:val="00245B26"/>
    <w:rsid w:val="00260949"/>
    <w:rsid w:val="00292D65"/>
    <w:rsid w:val="002A6717"/>
    <w:rsid w:val="002B6432"/>
    <w:rsid w:val="002C6106"/>
    <w:rsid w:val="002C6985"/>
    <w:rsid w:val="002C7C70"/>
    <w:rsid w:val="002D17AE"/>
    <w:rsid w:val="002D451C"/>
    <w:rsid w:val="002D4DAE"/>
    <w:rsid w:val="002E7461"/>
    <w:rsid w:val="003235F9"/>
    <w:rsid w:val="00337029"/>
    <w:rsid w:val="0035718F"/>
    <w:rsid w:val="003A5DFC"/>
    <w:rsid w:val="003B409D"/>
    <w:rsid w:val="003D79A8"/>
    <w:rsid w:val="003E4278"/>
    <w:rsid w:val="003F0D4E"/>
    <w:rsid w:val="00401DBA"/>
    <w:rsid w:val="004035A2"/>
    <w:rsid w:val="004332AF"/>
    <w:rsid w:val="00460C58"/>
    <w:rsid w:val="00475326"/>
    <w:rsid w:val="00484CD7"/>
    <w:rsid w:val="00497FBB"/>
    <w:rsid w:val="004F4215"/>
    <w:rsid w:val="005143DA"/>
    <w:rsid w:val="00521CD6"/>
    <w:rsid w:val="00524A65"/>
    <w:rsid w:val="00526AE7"/>
    <w:rsid w:val="00535244"/>
    <w:rsid w:val="00555DA2"/>
    <w:rsid w:val="00560A7A"/>
    <w:rsid w:val="0057528E"/>
    <w:rsid w:val="00575FA3"/>
    <w:rsid w:val="0058412D"/>
    <w:rsid w:val="00585617"/>
    <w:rsid w:val="00585A03"/>
    <w:rsid w:val="005B0713"/>
    <w:rsid w:val="005D216C"/>
    <w:rsid w:val="00602D0F"/>
    <w:rsid w:val="0061797C"/>
    <w:rsid w:val="00632399"/>
    <w:rsid w:val="00663C51"/>
    <w:rsid w:val="00677649"/>
    <w:rsid w:val="0068270E"/>
    <w:rsid w:val="0069143C"/>
    <w:rsid w:val="00696F77"/>
    <w:rsid w:val="006B5FE5"/>
    <w:rsid w:val="006D025B"/>
    <w:rsid w:val="006F27C9"/>
    <w:rsid w:val="0070370D"/>
    <w:rsid w:val="00706434"/>
    <w:rsid w:val="007161E1"/>
    <w:rsid w:val="0071757D"/>
    <w:rsid w:val="0072336A"/>
    <w:rsid w:val="00746E1E"/>
    <w:rsid w:val="00754046"/>
    <w:rsid w:val="00761D85"/>
    <w:rsid w:val="00780FB5"/>
    <w:rsid w:val="00783921"/>
    <w:rsid w:val="00791233"/>
    <w:rsid w:val="007A1177"/>
    <w:rsid w:val="007B082F"/>
    <w:rsid w:val="007B5C6A"/>
    <w:rsid w:val="007C0EE0"/>
    <w:rsid w:val="007C141B"/>
    <w:rsid w:val="007D59FD"/>
    <w:rsid w:val="00801B58"/>
    <w:rsid w:val="00845E14"/>
    <w:rsid w:val="008509A9"/>
    <w:rsid w:val="00853C2F"/>
    <w:rsid w:val="00866C97"/>
    <w:rsid w:val="00870DE2"/>
    <w:rsid w:val="00871633"/>
    <w:rsid w:val="00883876"/>
    <w:rsid w:val="008A1B9C"/>
    <w:rsid w:val="008B7CB1"/>
    <w:rsid w:val="008C0085"/>
    <w:rsid w:val="008E57BE"/>
    <w:rsid w:val="00915E1F"/>
    <w:rsid w:val="00917DC2"/>
    <w:rsid w:val="00923808"/>
    <w:rsid w:val="0094434C"/>
    <w:rsid w:val="00961E25"/>
    <w:rsid w:val="00970060"/>
    <w:rsid w:val="009A70FD"/>
    <w:rsid w:val="009B3E65"/>
    <w:rsid w:val="009B4899"/>
    <w:rsid w:val="009B7137"/>
    <w:rsid w:val="009C42FF"/>
    <w:rsid w:val="009D72C9"/>
    <w:rsid w:val="009E4325"/>
    <w:rsid w:val="00A04AFE"/>
    <w:rsid w:val="00A20826"/>
    <w:rsid w:val="00A47264"/>
    <w:rsid w:val="00A478F7"/>
    <w:rsid w:val="00A54E33"/>
    <w:rsid w:val="00A604C5"/>
    <w:rsid w:val="00A6357A"/>
    <w:rsid w:val="00A63BE3"/>
    <w:rsid w:val="00A708CD"/>
    <w:rsid w:val="00A764EA"/>
    <w:rsid w:val="00AA71E7"/>
    <w:rsid w:val="00AC0D7A"/>
    <w:rsid w:val="00AC5EC7"/>
    <w:rsid w:val="00AD3887"/>
    <w:rsid w:val="00AE6D23"/>
    <w:rsid w:val="00B17981"/>
    <w:rsid w:val="00B179B6"/>
    <w:rsid w:val="00B2389D"/>
    <w:rsid w:val="00B36A72"/>
    <w:rsid w:val="00B56806"/>
    <w:rsid w:val="00B60E6C"/>
    <w:rsid w:val="00B6746E"/>
    <w:rsid w:val="00B7198D"/>
    <w:rsid w:val="00B775AA"/>
    <w:rsid w:val="00B81A32"/>
    <w:rsid w:val="00B87BA3"/>
    <w:rsid w:val="00BC0399"/>
    <w:rsid w:val="00BE5CCE"/>
    <w:rsid w:val="00BF0192"/>
    <w:rsid w:val="00BF1D77"/>
    <w:rsid w:val="00BF22B7"/>
    <w:rsid w:val="00BF4F90"/>
    <w:rsid w:val="00C054D6"/>
    <w:rsid w:val="00C22713"/>
    <w:rsid w:val="00C26D7D"/>
    <w:rsid w:val="00C2796E"/>
    <w:rsid w:val="00C60BC1"/>
    <w:rsid w:val="00C65E94"/>
    <w:rsid w:val="00C66272"/>
    <w:rsid w:val="00C66926"/>
    <w:rsid w:val="00C76054"/>
    <w:rsid w:val="00CC3AD2"/>
    <w:rsid w:val="00CC5A2D"/>
    <w:rsid w:val="00CD2E35"/>
    <w:rsid w:val="00CD51C8"/>
    <w:rsid w:val="00CE2117"/>
    <w:rsid w:val="00CE3D33"/>
    <w:rsid w:val="00CF3E71"/>
    <w:rsid w:val="00D02521"/>
    <w:rsid w:val="00D11BC2"/>
    <w:rsid w:val="00D13820"/>
    <w:rsid w:val="00D162A8"/>
    <w:rsid w:val="00D228C7"/>
    <w:rsid w:val="00D23519"/>
    <w:rsid w:val="00D262CC"/>
    <w:rsid w:val="00D33CE7"/>
    <w:rsid w:val="00D443F4"/>
    <w:rsid w:val="00D81CB9"/>
    <w:rsid w:val="00D838D5"/>
    <w:rsid w:val="00DB76F7"/>
    <w:rsid w:val="00DC2BEE"/>
    <w:rsid w:val="00DC2CFA"/>
    <w:rsid w:val="00DE23FD"/>
    <w:rsid w:val="00DF14AB"/>
    <w:rsid w:val="00E14288"/>
    <w:rsid w:val="00E51B87"/>
    <w:rsid w:val="00E6044A"/>
    <w:rsid w:val="00EA36F7"/>
    <w:rsid w:val="00EB455E"/>
    <w:rsid w:val="00EB6C53"/>
    <w:rsid w:val="00ED4F35"/>
    <w:rsid w:val="00ED6AC4"/>
    <w:rsid w:val="00EF63E3"/>
    <w:rsid w:val="00F03803"/>
    <w:rsid w:val="00F41B4F"/>
    <w:rsid w:val="00F4576D"/>
    <w:rsid w:val="00F47956"/>
    <w:rsid w:val="00F55E01"/>
    <w:rsid w:val="00F6358C"/>
    <w:rsid w:val="00F77697"/>
    <w:rsid w:val="00F94DA6"/>
    <w:rsid w:val="00FA15B6"/>
    <w:rsid w:val="00FC4D3D"/>
    <w:rsid w:val="00FE41D9"/>
    <w:rsid w:val="00FE7E9E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3BEE8"/>
  <w15:docId w15:val="{44527BC5-A71F-4CAE-A4F6-56A56880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C53"/>
    <w:pPr>
      <w:spacing w:line="248" w:lineRule="auto"/>
    </w:pPr>
    <w:rPr>
      <w:rFonts w:ascii="Merriweather Light" w:hAnsi="Merriweather Light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A47264"/>
    <w:pPr>
      <w:keepNext/>
      <w:spacing w:after="260"/>
      <w:outlineLvl w:val="0"/>
    </w:pPr>
    <w:rPr>
      <w:rFonts w:ascii="Merriweather" w:hAnsi="Merriweather" w:cs="Arial"/>
      <w:b/>
      <w:bCs/>
      <w:kern w:val="26"/>
      <w:sz w:val="28"/>
      <w:szCs w:val="32"/>
    </w:rPr>
  </w:style>
  <w:style w:type="paragraph" w:styleId="Overskrift2">
    <w:name w:val="heading 2"/>
    <w:basedOn w:val="Normal"/>
    <w:next w:val="Normal"/>
    <w:qFormat/>
    <w:rsid w:val="00D162A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D162A8"/>
    <w:pPr>
      <w:keepNext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ummerertliste">
    <w:name w:val="Nummerert  liste"/>
    <w:basedOn w:val="Normal"/>
    <w:next w:val="Normal"/>
    <w:rsid w:val="00D162A8"/>
    <w:pPr>
      <w:numPr>
        <w:numId w:val="1"/>
      </w:numPr>
    </w:pPr>
    <w:rPr>
      <w:lang w:eastAsia="nb-NO"/>
    </w:rPr>
  </w:style>
  <w:style w:type="paragraph" w:customStyle="1" w:styleId="Nummerertlisteunderpunkt">
    <w:name w:val="Nummerert liste underpunkt"/>
    <w:basedOn w:val="Normal"/>
    <w:rsid w:val="00D162A8"/>
    <w:pPr>
      <w:numPr>
        <w:ilvl w:val="1"/>
        <w:numId w:val="1"/>
      </w:numPr>
      <w:tabs>
        <w:tab w:val="num" w:pos="567"/>
      </w:tabs>
      <w:ind w:left="567" w:hanging="567"/>
    </w:pPr>
    <w:rPr>
      <w:lang w:eastAsia="nb-NO"/>
    </w:rPr>
  </w:style>
  <w:style w:type="paragraph" w:customStyle="1" w:styleId="Nummerertlisteunderpunktdbl">
    <w:name w:val="Nummerert liste underpunkt dbl"/>
    <w:basedOn w:val="Nummerertlisteunderpunkt"/>
    <w:rsid w:val="00D162A8"/>
    <w:pPr>
      <w:numPr>
        <w:ilvl w:val="2"/>
      </w:numPr>
      <w:spacing w:line="247" w:lineRule="auto"/>
    </w:pPr>
  </w:style>
  <w:style w:type="paragraph" w:customStyle="1" w:styleId="Referansetekst">
    <w:name w:val="Referansetekst"/>
    <w:basedOn w:val="Normal"/>
    <w:rsid w:val="00A47264"/>
    <w:rPr>
      <w:sz w:val="16"/>
    </w:rPr>
  </w:style>
  <w:style w:type="paragraph" w:styleId="Topptekst">
    <w:name w:val="header"/>
    <w:basedOn w:val="Normal"/>
    <w:semiHidden/>
    <w:rsid w:val="00D162A8"/>
    <w:pPr>
      <w:tabs>
        <w:tab w:val="center" w:pos="4320"/>
        <w:tab w:val="right" w:pos="8640"/>
      </w:tabs>
      <w:jc w:val="right"/>
    </w:pPr>
    <w:rPr>
      <w:rFonts w:ascii="Arial" w:hAnsi="Arial"/>
    </w:rPr>
  </w:style>
  <w:style w:type="paragraph" w:styleId="Bunntekst">
    <w:name w:val="footer"/>
    <w:basedOn w:val="Normal"/>
    <w:semiHidden/>
    <w:rsid w:val="00D162A8"/>
    <w:pPr>
      <w:tabs>
        <w:tab w:val="center" w:pos="4320"/>
        <w:tab w:val="right" w:pos="8640"/>
      </w:tabs>
      <w:jc w:val="right"/>
    </w:pPr>
    <w:rPr>
      <w:rFonts w:ascii="Arial" w:hAnsi="Arial"/>
      <w:noProof/>
    </w:rPr>
  </w:style>
  <w:style w:type="table" w:styleId="Tabellrutenett">
    <w:name w:val="Table Grid"/>
    <w:basedOn w:val="Vanligtabell"/>
    <w:rsid w:val="00D162A8"/>
    <w:pPr>
      <w:spacing w:line="24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460C58"/>
  </w:style>
  <w:style w:type="paragraph" w:customStyle="1" w:styleId="Normalpktmarg">
    <w:name w:val="Normal: pkt.marg"/>
    <w:basedOn w:val="Normal"/>
    <w:next w:val="Normal"/>
    <w:rsid w:val="00D162A8"/>
    <w:pPr>
      <w:numPr>
        <w:numId w:val="2"/>
      </w:numPr>
      <w:tabs>
        <w:tab w:val="left" w:pos="0"/>
      </w:tabs>
    </w:pPr>
  </w:style>
  <w:style w:type="paragraph" w:styleId="Tittel">
    <w:name w:val="Title"/>
    <w:basedOn w:val="Overskrift1"/>
    <w:next w:val="Normal"/>
    <w:qFormat/>
    <w:rsid w:val="00FE7E9E"/>
    <w:pPr>
      <w:spacing w:before="600" w:line="247" w:lineRule="auto"/>
    </w:pPr>
    <w:rPr>
      <w:caps/>
    </w:rPr>
  </w:style>
  <w:style w:type="character" w:styleId="Plassholdertekst">
    <w:name w:val="Placeholder Text"/>
    <w:basedOn w:val="Standardskriftforavsnitt"/>
    <w:uiPriority w:val="99"/>
    <w:semiHidden/>
    <w:rsid w:val="0069143C"/>
    <w:rPr>
      <w:color w:val="808080"/>
    </w:rPr>
  </w:style>
  <w:style w:type="paragraph" w:styleId="Bobletekst">
    <w:name w:val="Balloon Text"/>
    <w:basedOn w:val="Normal"/>
    <w:link w:val="BobletekstTegn"/>
    <w:rsid w:val="00A47264"/>
    <w:pPr>
      <w:spacing w:line="240" w:lineRule="auto"/>
    </w:pPr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47264"/>
    <w:rPr>
      <w:rFonts w:ascii="Merriweather Light" w:hAnsi="Merriweather Light" w:cs="Tahoma"/>
      <w:sz w:val="16"/>
      <w:szCs w:val="16"/>
      <w:lang w:eastAsia="en-US"/>
    </w:rPr>
  </w:style>
  <w:style w:type="paragraph" w:customStyle="1" w:styleId="Ingress">
    <w:name w:val="Ingress"/>
    <w:basedOn w:val="Normal"/>
    <w:qFormat/>
    <w:rsid w:val="00A764EA"/>
    <w:pPr>
      <w:spacing w:line="240" w:lineRule="auto"/>
    </w:pPr>
    <w:rPr>
      <w:rFonts w:ascii="Open Sans" w:hAnsi="Open Sans"/>
    </w:rPr>
  </w:style>
  <w:style w:type="paragraph" w:customStyle="1" w:styleId="Mellomtittel">
    <w:name w:val="Mellomtittel"/>
    <w:basedOn w:val="Ingress"/>
    <w:qFormat/>
    <w:rsid w:val="00A764EA"/>
    <w:rPr>
      <w:b/>
    </w:rPr>
  </w:style>
  <w:style w:type="paragraph" w:styleId="Listeavsnitt">
    <w:name w:val="List Paragraph"/>
    <w:basedOn w:val="Normal"/>
    <w:uiPriority w:val="34"/>
    <w:qFormat/>
    <w:rsid w:val="008716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empty_financenorw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BE5FBC53764014BC08B224A75A3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F7F23-9E60-4491-AB78-2823FB3181D9}"/>
      </w:docPartPr>
      <w:docPartBody>
        <w:p w:rsidR="00BA08D6" w:rsidRDefault="00BF5D0B" w:rsidP="00BF5D0B">
          <w:pPr>
            <w:pStyle w:val="4BBE5FBC53764014BC08B224A75A3AB9"/>
          </w:pPr>
          <w:r w:rsidRPr="00B6238E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altName w:val="Merriweather Light"/>
    <w:charset w:val="00"/>
    <w:family w:val="auto"/>
    <w:pitch w:val="variable"/>
    <w:sig w:usb0="20000207" w:usb1="00000002" w:usb2="00000000" w:usb3="00000000" w:csb0="00000197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122BA2"/>
    <w:rsid w:val="003B409D"/>
    <w:rsid w:val="00BA08D6"/>
    <w:rsid w:val="00B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F5D0B"/>
    <w:rPr>
      <w:color w:val="808080"/>
    </w:rPr>
  </w:style>
  <w:style w:type="paragraph" w:customStyle="1" w:styleId="4BBE5FBC53764014BC08B224A75A3AB9">
    <w:name w:val="4BBE5FBC53764014BC08B224A75A3AB9"/>
    <w:rsid w:val="00BF5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Lists>
    <gbs:SingleLines/>
  </gbs:Lists>
  <gbs:OurRef.Name gbs:loadFromGrowBusiness="OnProduce" gbs:saveInGrowBusiness="False" gbs:connected="true" gbs:recno="" gbs:entity="" gbs:datatype="string" gbs:key="1225474" gbs:removeContentControl="0"/>
  <gbs:Title gbs:loadFromGrowBusiness="OnProduce" gbs:saveInGrowBusiness="False" gbs:connected="true" gbs:recno="" gbs:entity="" gbs:datatype="string" gbs:key="1225477" gbs:removeContentControl="0">List over amendments in the HTT</gbs:Title>
  <gbs:DocumentDate gbs:loadFromGrowBusiness="OnProduce" gbs:saveInGrowBusiness="False" gbs:connected="true" gbs:recno="" gbs:entity="" gbs:datatype="date" gbs:key="1225478"/>
  <gbs:ToCase.Name gbs:loadFromGrowBusiness="OnProduce" gbs:saveInGrowBusiness="False" gbs:connected="true" gbs:recno="" gbs:entity="" gbs:datatype="string" gbs:key="1225480"/>
  <gbs:ToActivityContactJOINEX.Name2 gbs:loadFromGrowBusiness="OnProduce" gbs:saveInGrowBusiness="False" gbs:connected="true" gbs:recno="" gbs:entity="" gbs:datatype="string" gbs:key="1225471" gbs:joinex="[JOINEX=[ToRole] {!OJEX!}=6]" gbs:removeContentControl="0"/>
  <gbs:ToActivityContactJOINEX.Name2 gbs:loadFromGrowBusiness="OnProduce" gbs:saveInGrowBusiness="False" gbs:connected="true" gbs:recno="" gbs:entity="" gbs:datatype="string" gbs:key="1225473" gbs:joinex="[JOINEX=[ToRole] {!OJEX!}=8]" gbs:removeContentControl="0"/>
  <gbs:DocumentDate gbs:loadFromGrowBusiness="OnProduce" gbs:saveInGrowBusiness="False" gbs:connected="true" gbs:recno="" gbs:entity="" gbs:datatype="date" gbs:key="1818111604"/>
  <gbs:ToCase.Name gbs:loadFromGrowBusiness="OnProduce" gbs:saveInGrowBusiness="False" gbs:connected="true" gbs:recno="" gbs:entity="" gbs:datatype="string" gbs:key="1818111612"/>
  <gbs:DocumentDate gbs:loadFromGrowBusiness="OnProduce" gbs:saveInGrowBusiness="False" gbs:connected="true" gbs:recno="" gbs:entity="" gbs:datatype="date" gbs:key="91438220"/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_Area xmlns="aaf76c25-c872-4d52-a3c2-4356b49134c4">Bank og kapitalmarked</FN_Ar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ab2b8ef-c951-45bf-a0d0-9b3f2fbb5ccb" ContentTypeId="0x010100ACC77BB12EC7EE4EA60870A550D34450" PreviousValue="false" LastSyncTimeStamp="2024-11-13T10:55:17.69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s Norge Dokument" ma:contentTypeID="0x010100ACC77BB12EC7EE4EA60870A550D3445000EA43A0BEF7E0DB4F8300D457F5124CEF" ma:contentTypeVersion="4" ma:contentTypeDescription="" ma:contentTypeScope="" ma:versionID="4bc284e0964232a14c127322205c5c08">
  <xsd:schema xmlns:xsd="http://www.w3.org/2001/XMLSchema" xmlns:xs="http://www.w3.org/2001/XMLSchema" xmlns:p="http://schemas.microsoft.com/office/2006/metadata/properties" xmlns:ns2="aaf76c25-c872-4d52-a3c2-4356b49134c4" targetNamespace="http://schemas.microsoft.com/office/2006/metadata/properties" ma:root="true" ma:fieldsID="67c10f132526aa188622d0d6786f5371" ns2:_="">
    <xsd:import namespace="aaf76c25-c872-4d52-a3c2-4356b49134c4"/>
    <xsd:element name="properties">
      <xsd:complexType>
        <xsd:sequence>
          <xsd:element name="documentManagement">
            <xsd:complexType>
              <xsd:all>
                <xsd:element ref="ns2:FN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76c25-c872-4d52-a3c2-4356b49134c4" elementFormDefault="qualified">
    <xsd:import namespace="http://schemas.microsoft.com/office/2006/documentManagement/types"/>
    <xsd:import namespace="http://schemas.microsoft.com/office/infopath/2007/PartnerControls"/>
    <xsd:element name="FN_Area" ma:index="8" nillable="true" ma:displayName="Område" ma:internalName="FN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C3F5B-1D41-4A8D-9EFC-958C10C5EC9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08B19E9-0A20-4CAC-9C2D-9D215AC7D869}">
  <ds:schemaRefs>
    <ds:schemaRef ds:uri="http://schemas.microsoft.com/office/2006/metadata/properties"/>
    <ds:schemaRef ds:uri="http://schemas.microsoft.com/office/infopath/2007/PartnerControls"/>
    <ds:schemaRef ds:uri="aaf76c25-c872-4d52-a3c2-4356b49134c4"/>
  </ds:schemaRefs>
</ds:datastoreItem>
</file>

<file path=customXml/itemProps3.xml><?xml version="1.0" encoding="utf-8"?>
<ds:datastoreItem xmlns:ds="http://schemas.openxmlformats.org/officeDocument/2006/customXml" ds:itemID="{E99AC6AE-E682-4638-831C-A7AE77F86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CDEEE-A03A-4BF4-BBE0-B76525BAE32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AAD8A7E-256C-48EA-A961-4174172D69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BA437B8-AB7B-4E2E-8B37-ABDA51C0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76c25-c872-4d52-a3c2-4356b4913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empty_financenorway</Template>
  <TotalTime>25</TotalTime>
  <Pages>2</Pages>
  <Words>516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mal</vt:lpstr>
      <vt:lpstr>Notat</vt:lpstr>
    </vt:vector>
  </TitlesOfParts>
  <Company>Finans Norge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mal</dc:title>
  <dc:creator>Michael Hurum Cook</dc:creator>
  <dc:description/>
  <cp:lastModifiedBy>Michael Hurum Cook</cp:lastModifiedBy>
  <cp:revision>4</cp:revision>
  <cp:lastPrinted>2009-12-30T12:35:00Z</cp:lastPrinted>
  <dcterms:created xsi:type="dcterms:W3CDTF">2021-03-15T08:50:00Z</dcterms:created>
  <dcterms:modified xsi:type="dcterms:W3CDTF">2025-03-12T08:46:00Z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nlest">
    <vt:lpwstr> </vt:lpwstr>
  </property>
  <property fmtid="{D5CDD505-2E9C-101B-9397-08002B2CF9AE}" pid="3" name="SUBJECT">
    <vt:lpwstr> </vt:lpwstr>
  </property>
  <property fmtid="{D5CDD505-2E9C-101B-9397-08002B2CF9AE}" pid="4" name="OURREF">
    <vt:lpwstr> </vt:lpwstr>
  </property>
  <property fmtid="{D5CDD505-2E9C-101B-9397-08002B2CF9AE}" pid="5" name="OURDATE">
    <vt:lpwstr> </vt:lpwstr>
  </property>
  <property fmtid="{D5CDD505-2E9C-101B-9397-08002B2CF9AE}" pid="6" name="FROM-USERNAME">
    <vt:lpwstr> </vt:lpwstr>
  </property>
  <property fmtid="{D5CDD505-2E9C-101B-9397-08002B2CF9AE}" pid="7" name="FROM-USER-INITIALS">
    <vt:lpwstr> </vt:lpwstr>
  </property>
  <property fmtid="{D5CDD505-2E9C-101B-9397-08002B2CF9AE}" pid="8" name="SHOW">
    <vt:lpwstr> </vt:lpwstr>
  </property>
  <property fmtid="{D5CDD505-2E9C-101B-9397-08002B2CF9AE}" pid="9" name="COPYTO">
    <vt:lpwstr> </vt:lpwstr>
  </property>
  <property fmtid="{D5CDD505-2E9C-101B-9397-08002B2CF9AE}" pid="10" name="SAKSID">
    <vt:lpwstr> </vt:lpwstr>
  </property>
  <property fmtid="{D5CDD505-2E9C-101B-9397-08002B2CF9AE}" pid="11" name="FROM-USERS-TITLE">
    <vt:lpwstr> </vt:lpwstr>
  </property>
  <property fmtid="{D5CDD505-2E9C-101B-9397-08002B2CF9AE}" pid="12" name="SymfoniFileName">
    <vt:lpwstr> </vt:lpwstr>
  </property>
  <property fmtid="{D5CDD505-2E9C-101B-9397-08002B2CF9AE}" pid="13" name="Notat_fra">
    <vt:lpwstr> </vt:lpwstr>
  </property>
  <property fmtid="{D5CDD505-2E9C-101B-9397-08002B2CF9AE}" pid="14" name="FROM-DEPARTMENT">
    <vt:lpwstr> </vt:lpwstr>
  </property>
  <property fmtid="{D5CDD505-2E9C-101B-9397-08002B2CF9AE}" pid="15" name="DEV. BY">
    <vt:lpwstr>addpoint.no</vt:lpwstr>
  </property>
  <property fmtid="{D5CDD505-2E9C-101B-9397-08002B2CF9AE}" pid="16" name="ContentTypeId">
    <vt:lpwstr>0x010100ACC77BB12EC7EE4EA60870A550D3445000EA43A0BEF7E0DB4F8300D457F5124CEF</vt:lpwstr>
  </property>
</Properties>
</file>