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BFE3" w14:textId="77777777" w:rsidR="003F09BB" w:rsidRDefault="003F09BB" w:rsidP="003F09BB">
      <w:pPr>
        <w:keepNext/>
        <w:spacing w:after="260"/>
        <w:outlineLvl w:val="0"/>
        <w:rPr>
          <w:rFonts w:ascii="Calibri" w:hAnsi="Calibri"/>
          <w:b/>
          <w:bCs/>
          <w:sz w:val="28"/>
          <w:szCs w:val="28"/>
        </w:rPr>
      </w:pPr>
    </w:p>
    <w:sdt>
      <w:sdtPr>
        <w:rPr>
          <w:rFonts w:ascii="Calibri" w:hAnsi="Calibri"/>
          <w:b/>
          <w:bCs/>
          <w:sz w:val="28"/>
          <w:szCs w:val="28"/>
        </w:rPr>
        <w:alias w:val="overskrift"/>
        <w:tag w:val="Title"/>
        <w:id w:val="1225477"/>
        <w:placeholder>
          <w:docPart w:val="36348F61723F4F6B8327E51E95226136"/>
        </w:placeholder>
        <w:dataBinding w:prefixMappings="xmlns:gbs='http://www.software-innovation.no/growBusinessDocument'" w:xpath="/gbs:GrowBusinessDocument/gbs:Title[@gbs:key='1225477']" w:storeItemID="{C55C3F5B-1D41-4A8D-9EFC-958C10C5EC9F}"/>
        <w:text/>
      </w:sdtPr>
      <w:sdtEndPr/>
      <w:sdtContent>
        <w:p w14:paraId="6D159544" w14:textId="35D1CF68" w:rsidR="003F09BB" w:rsidRPr="003F09BB" w:rsidRDefault="003F09BB" w:rsidP="003F09BB">
          <w:pPr>
            <w:keepNext/>
            <w:spacing w:after="260"/>
            <w:outlineLvl w:val="0"/>
            <w:rPr>
              <w:rFonts w:asciiTheme="minorHAnsi" w:hAnsiTheme="minorHAnsi"/>
              <w:b/>
              <w:bCs/>
              <w:sz w:val="28"/>
              <w:szCs w:val="28"/>
            </w:rPr>
          </w:pPr>
          <w:r w:rsidRPr="003F09BB">
            <w:rPr>
              <w:rFonts w:ascii="Calibri" w:hAnsi="Calibri"/>
              <w:b/>
              <w:bCs/>
              <w:sz w:val="28"/>
              <w:szCs w:val="28"/>
            </w:rPr>
            <w:t xml:space="preserve">Utkast til </w:t>
          </w:r>
          <w:r w:rsidR="00E21917">
            <w:rPr>
              <w:rFonts w:ascii="Calibri" w:hAnsi="Calibri"/>
              <w:b/>
              <w:bCs/>
              <w:sz w:val="28"/>
              <w:szCs w:val="28"/>
            </w:rPr>
            <w:t>e</w:t>
          </w:r>
          <w:r w:rsidRPr="003F09BB">
            <w:rPr>
              <w:rFonts w:ascii="Calibri" w:hAnsi="Calibri"/>
              <w:b/>
              <w:bCs/>
              <w:sz w:val="28"/>
              <w:szCs w:val="28"/>
            </w:rPr>
            <w:t>tterutdanning</w:t>
          </w:r>
          <w:r w:rsidR="00E21917">
            <w:rPr>
              <w:rFonts w:ascii="Calibri" w:hAnsi="Calibri"/>
              <w:b/>
              <w:bCs/>
              <w:sz w:val="28"/>
              <w:szCs w:val="28"/>
            </w:rPr>
            <w:t>sopplegg for</w:t>
          </w:r>
          <w:r w:rsidRPr="003F09BB">
            <w:rPr>
              <w:rFonts w:ascii="Calibri" w:hAnsi="Calibri"/>
              <w:b/>
              <w:bCs/>
              <w:sz w:val="28"/>
              <w:szCs w:val="28"/>
            </w:rPr>
            <w:t xml:space="preserve"> forsikringsformidling </w:t>
          </w:r>
          <w:r w:rsidR="00E21917">
            <w:rPr>
              <w:rFonts w:ascii="Calibri" w:hAnsi="Calibri"/>
              <w:b/>
              <w:bCs/>
              <w:sz w:val="28"/>
              <w:szCs w:val="28"/>
            </w:rPr>
            <w:t xml:space="preserve">i Finans Norge </w:t>
          </w:r>
          <w:r w:rsidRPr="003F09BB">
            <w:rPr>
              <w:rFonts w:ascii="Calibri" w:hAnsi="Calibri"/>
              <w:b/>
              <w:bCs/>
              <w:sz w:val="28"/>
              <w:szCs w:val="28"/>
            </w:rPr>
            <w:t>– for personer som ikke er autorisert i Finansnæringens Autorisasjonsordning</w:t>
          </w:r>
        </w:p>
      </w:sdtContent>
    </w:sdt>
    <w:p w14:paraId="570BFB72" w14:textId="1E3D5FE1" w:rsidR="003F09BB" w:rsidRDefault="003F09BB" w:rsidP="003F09BB">
      <w:pPr>
        <w:rPr>
          <w:rFonts w:asciiTheme="minorHAnsi" w:hAnsiTheme="minorHAnsi"/>
          <w:b/>
          <w:bCs/>
          <w:sz w:val="22"/>
        </w:rPr>
      </w:pPr>
    </w:p>
    <w:p w14:paraId="63D79E7F" w14:textId="77777777" w:rsidR="003F09BB" w:rsidRDefault="003F09BB" w:rsidP="003F09BB">
      <w:pPr>
        <w:rPr>
          <w:rFonts w:asciiTheme="minorHAnsi" w:hAnsiTheme="minorHAnsi"/>
          <w:b/>
          <w:bCs/>
          <w:sz w:val="22"/>
        </w:rPr>
      </w:pPr>
    </w:p>
    <w:p w14:paraId="2A992B67" w14:textId="77777777" w:rsidR="003F09BB" w:rsidRDefault="003F09BB" w:rsidP="003F09BB">
      <w:pPr>
        <w:rPr>
          <w:rFonts w:asciiTheme="minorHAnsi" w:hAnsiTheme="minorHAnsi"/>
          <w:b/>
          <w:bCs/>
          <w:sz w:val="22"/>
        </w:rPr>
      </w:pPr>
    </w:p>
    <w:p w14:paraId="700C4D42" w14:textId="7C2FA113" w:rsidR="003F09BB" w:rsidRPr="003F09BB" w:rsidRDefault="003F09BB" w:rsidP="003F09BB">
      <w:pPr>
        <w:rPr>
          <w:rFonts w:asciiTheme="minorHAnsi" w:hAnsiTheme="minorHAnsi"/>
          <w:b/>
          <w:bCs/>
          <w:sz w:val="22"/>
        </w:rPr>
      </w:pPr>
      <w:r>
        <w:rPr>
          <w:rFonts w:asciiTheme="minorHAnsi" w:hAnsiTheme="minorHAnsi"/>
          <w:b/>
          <w:bCs/>
          <w:sz w:val="22"/>
        </w:rPr>
        <w:t xml:space="preserve">Del 1 </w:t>
      </w:r>
      <w:r w:rsidRPr="003F09BB">
        <w:rPr>
          <w:rFonts w:asciiTheme="minorHAnsi" w:hAnsiTheme="minorHAnsi"/>
          <w:b/>
          <w:bCs/>
          <w:sz w:val="22"/>
        </w:rPr>
        <w:t>Generell informasjon</w:t>
      </w:r>
    </w:p>
    <w:p w14:paraId="22FCCB0C" w14:textId="77777777" w:rsidR="003F09BB" w:rsidRPr="003F09BB" w:rsidRDefault="003F09BB" w:rsidP="003F09BB">
      <w:pPr>
        <w:rPr>
          <w:rFonts w:asciiTheme="minorHAnsi" w:hAnsiTheme="minorHAnsi"/>
          <w:sz w:val="22"/>
        </w:rPr>
      </w:pPr>
    </w:p>
    <w:p w14:paraId="57065EC1"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Om etterutdanningskravet</w:t>
      </w:r>
    </w:p>
    <w:p w14:paraId="2A6DF253"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Forsikringsformidlingsloven § 6-3 annet ledd krever at alle agenter i forsikringsagentforetak skal gjennomføre minst 15 timer etterutdanning årlig som er relevant for virksomheten. Videre følger det av finansforetaksloven § 16-12 første ledd bokstav c) at ansatte i forsikringsforetak som er direkte beskjeftiget med forsikringsdistribusjon er underlagt samme krav. </w:t>
      </w:r>
    </w:p>
    <w:p w14:paraId="56F61652" w14:textId="77777777" w:rsidR="003F09BB" w:rsidRPr="003F09BB" w:rsidRDefault="003F09BB" w:rsidP="003F09BB">
      <w:pPr>
        <w:rPr>
          <w:rFonts w:asciiTheme="minorHAnsi" w:hAnsiTheme="minorHAnsi"/>
          <w:sz w:val="22"/>
        </w:rPr>
      </w:pPr>
    </w:p>
    <w:p w14:paraId="39C31C29"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Kravene til etterutdanning er utdypet i forsikringsformidlingsforskriftens § 2-4, jf. § 2-3. </w:t>
      </w:r>
    </w:p>
    <w:p w14:paraId="0D1C189B" w14:textId="77777777" w:rsidR="003F09BB" w:rsidRPr="003F09BB" w:rsidRDefault="003F09BB" w:rsidP="003F09BB">
      <w:pPr>
        <w:rPr>
          <w:rFonts w:asciiTheme="minorHAnsi" w:hAnsiTheme="minorHAnsi"/>
          <w:sz w:val="22"/>
        </w:rPr>
      </w:pPr>
    </w:p>
    <w:p w14:paraId="09E89F45"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Målgruppe for ordningen</w:t>
      </w:r>
    </w:p>
    <w:p w14:paraId="3C32CCF1" w14:textId="77777777" w:rsidR="003F09BB" w:rsidRPr="003F09BB" w:rsidRDefault="003F09BB" w:rsidP="003F09BB">
      <w:pPr>
        <w:rPr>
          <w:rFonts w:asciiTheme="minorHAnsi" w:hAnsiTheme="minorHAnsi"/>
          <w:b/>
          <w:bCs/>
          <w:sz w:val="22"/>
        </w:rPr>
      </w:pPr>
    </w:p>
    <w:p w14:paraId="03ED2035"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Etterutdanningskravet omfatter både rådgivere og andre ansatte som jobber med forsikringsformidling. Rådgivere omfattes av autorisasjonsordningen i Finansnæringens Autorisasjonsordning (FinAut), der det allerede er etablert systemer for etterutdanning. Disse vil ikke omfattes av Finans Norges etterutdanningsordning. </w:t>
      </w:r>
    </w:p>
    <w:p w14:paraId="3AF93EE3" w14:textId="77777777" w:rsidR="003F09BB" w:rsidRPr="003F09BB" w:rsidRDefault="003F09BB" w:rsidP="003F09BB">
      <w:pPr>
        <w:rPr>
          <w:rFonts w:asciiTheme="minorHAnsi" w:hAnsiTheme="minorHAnsi"/>
          <w:sz w:val="22"/>
        </w:rPr>
      </w:pPr>
    </w:p>
    <w:p w14:paraId="06EE55B2" w14:textId="77777777" w:rsidR="003F09BB" w:rsidRPr="003F09BB" w:rsidRDefault="003F09BB" w:rsidP="003F09BB">
      <w:pPr>
        <w:rPr>
          <w:rFonts w:asciiTheme="minorHAnsi" w:hAnsiTheme="minorHAnsi"/>
          <w:sz w:val="22"/>
        </w:rPr>
      </w:pPr>
      <w:r w:rsidRPr="003F09BB">
        <w:rPr>
          <w:rFonts w:asciiTheme="minorHAnsi" w:hAnsiTheme="minorHAnsi"/>
          <w:sz w:val="22"/>
        </w:rPr>
        <w:t>Finans Norges etterutdanningsordning vil omfatte ansatte og ledelse som ikke er omfattet av FinAuts autorisasjonsordning. Målet med etterutdanningsordningen er å sikre et godkjent etterutdanningsopplegg som dekker de grunnleggende kravene i forsikringsformidlingsloven, finansforetaksloven og forsikringsformidlingsforskriften på en god og relevant måte, samtidig som foretakene gis frihet til å tilpasse etterutdanningen for de ulike ansatte på best mulig måte. Det er det enkelte foretaks ansvar å definere hvilke ansatte som faller inn under etterutdanningskravet.</w:t>
      </w:r>
    </w:p>
    <w:p w14:paraId="005A4F3B" w14:textId="77777777" w:rsidR="003F09BB" w:rsidRPr="003F09BB" w:rsidRDefault="003F09BB" w:rsidP="003F09BB">
      <w:pPr>
        <w:rPr>
          <w:rFonts w:asciiTheme="minorHAnsi" w:hAnsiTheme="minorHAnsi"/>
          <w:sz w:val="22"/>
        </w:rPr>
      </w:pPr>
    </w:p>
    <w:p w14:paraId="239E3B70"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Forutsetninger</w:t>
      </w:r>
    </w:p>
    <w:p w14:paraId="085B0997"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Dette er krav til </w:t>
      </w:r>
      <w:r w:rsidRPr="003F09BB">
        <w:rPr>
          <w:rFonts w:asciiTheme="minorHAnsi" w:hAnsiTheme="minorHAnsi"/>
          <w:i/>
          <w:iCs/>
          <w:sz w:val="22"/>
        </w:rPr>
        <w:t>etterutdanning</w:t>
      </w:r>
      <w:r w:rsidRPr="003F09BB">
        <w:rPr>
          <w:rFonts w:asciiTheme="minorHAnsi" w:hAnsiTheme="minorHAnsi"/>
          <w:sz w:val="22"/>
        </w:rPr>
        <w:t xml:space="preserve">. Det forutsettes at de som skal gjennomgå etterutdanningen har grunnleggende kunnskap som reflekterer </w:t>
      </w:r>
      <w:proofErr w:type="spellStart"/>
      <w:r w:rsidRPr="003F09BB">
        <w:rPr>
          <w:rFonts w:asciiTheme="minorHAnsi" w:hAnsiTheme="minorHAnsi"/>
          <w:sz w:val="22"/>
        </w:rPr>
        <w:t>vedkommendes</w:t>
      </w:r>
      <w:proofErr w:type="spellEnd"/>
      <w:r w:rsidRPr="003F09BB">
        <w:rPr>
          <w:rFonts w:asciiTheme="minorHAnsi" w:hAnsiTheme="minorHAnsi"/>
          <w:sz w:val="22"/>
        </w:rPr>
        <w:t xml:space="preserve"> stilling og funksjon i samsvar med forsikringsformidlingsloven § 6-3, jf. forsikringsformidlingsforskriften § 2-3 og finansforetaksloven § 16-12 første ledd bokstav a). Som følge av at det ikke ligger noe felles krav til utdanning til denne gruppen på tilsvarende måte som i autorisasjonsordningen i FinAut, vil fagplanens rammer være mere generelle enn etterutdanningen som inngår i autorisasjonsordningen. </w:t>
      </w:r>
    </w:p>
    <w:p w14:paraId="278B95D0" w14:textId="77777777" w:rsidR="003F09BB" w:rsidRPr="003F09BB" w:rsidRDefault="003F09BB" w:rsidP="003F09BB">
      <w:pPr>
        <w:rPr>
          <w:rFonts w:asciiTheme="minorHAnsi" w:hAnsiTheme="minorHAnsi"/>
          <w:sz w:val="22"/>
        </w:rPr>
      </w:pPr>
    </w:p>
    <w:p w14:paraId="30FF09A1" w14:textId="6BDBC626" w:rsidR="003F09BB" w:rsidRDefault="003F09BB" w:rsidP="003F09BB">
      <w:pPr>
        <w:tabs>
          <w:tab w:val="left" w:pos="567"/>
        </w:tabs>
        <w:rPr>
          <w:rFonts w:asciiTheme="minorHAnsi" w:hAnsiTheme="minorHAnsi"/>
          <w:b/>
          <w:bCs/>
          <w:sz w:val="22"/>
        </w:rPr>
      </w:pPr>
      <w:r w:rsidRPr="003F09BB">
        <w:rPr>
          <w:rFonts w:asciiTheme="minorHAnsi" w:hAnsiTheme="minorHAnsi"/>
          <w:b/>
          <w:bCs/>
          <w:sz w:val="22"/>
        </w:rPr>
        <w:t>Del 2</w:t>
      </w:r>
      <w:r>
        <w:rPr>
          <w:rFonts w:asciiTheme="minorHAnsi" w:hAnsiTheme="minorHAnsi"/>
          <w:b/>
          <w:bCs/>
          <w:sz w:val="22"/>
        </w:rPr>
        <w:t xml:space="preserve"> </w:t>
      </w:r>
      <w:r w:rsidRPr="003F09BB">
        <w:rPr>
          <w:rFonts w:asciiTheme="minorHAnsi" w:hAnsiTheme="minorHAnsi"/>
          <w:b/>
          <w:bCs/>
          <w:sz w:val="22"/>
        </w:rPr>
        <w:t>Om fagplanen</w:t>
      </w:r>
    </w:p>
    <w:p w14:paraId="694D8ABA" w14:textId="77777777" w:rsidR="003F09BB" w:rsidRPr="003F09BB" w:rsidRDefault="003F09BB" w:rsidP="003F09BB">
      <w:pPr>
        <w:tabs>
          <w:tab w:val="left" w:pos="567"/>
        </w:tabs>
        <w:rPr>
          <w:rFonts w:asciiTheme="minorHAnsi" w:hAnsiTheme="minorHAnsi"/>
          <w:b/>
          <w:bCs/>
          <w:sz w:val="22"/>
        </w:rPr>
      </w:pPr>
    </w:p>
    <w:p w14:paraId="432140C0"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Ramme for etterutdanningen</w:t>
      </w:r>
    </w:p>
    <w:p w14:paraId="6DBDE8BA"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Fagplanen angir rammer og krav til temaer som et etterutdanningsopplegg for den enkelte ansatte må inneholde. Det gis også en skjematisk angivelse av tidsmessig fordeling av temaene. Det vil imidlertid </w:t>
      </w:r>
      <w:r w:rsidRPr="003F09BB">
        <w:rPr>
          <w:rFonts w:asciiTheme="minorHAnsi" w:hAnsiTheme="minorHAnsi"/>
          <w:sz w:val="22"/>
        </w:rPr>
        <w:lastRenderedPageBreak/>
        <w:t xml:space="preserve">være opp til foretakene selv å finne opplæringstiltak som dekker fagplanens krav. Det enkelte forsikringsforetak/forsikringsagentforetak er selv ansvarlig for å kontrollere at den etterutdanning som valgt leverandør eller evt. forsikringsforetak gjennomfører selv, er i samsvar med fagplanen til enhver tid. Det er videre det enkelte foretaks ansvar å påse at etterutdanningen er relevant for den enkelte ansatte ut fra stilling og funksjon. Dette vil bety at etterutdanning kan inneholde ulike kurs eller program eller ha ulik tidsmessig balansering avhengig av hvilken stilling den ansatte har i virksomheten. </w:t>
      </w:r>
    </w:p>
    <w:p w14:paraId="299625C0" w14:textId="77777777" w:rsidR="003F09BB" w:rsidRPr="003F09BB" w:rsidRDefault="003F09BB" w:rsidP="003F09BB">
      <w:pPr>
        <w:rPr>
          <w:rFonts w:asciiTheme="minorHAnsi" w:hAnsiTheme="minorHAnsi"/>
          <w:sz w:val="22"/>
        </w:rPr>
      </w:pPr>
    </w:p>
    <w:p w14:paraId="00330C19" w14:textId="77777777" w:rsidR="003F09BB" w:rsidRPr="003F09BB" w:rsidRDefault="003F09BB" w:rsidP="003F09BB">
      <w:pPr>
        <w:rPr>
          <w:rFonts w:asciiTheme="minorHAnsi" w:hAnsiTheme="minorHAnsi"/>
          <w:sz w:val="22"/>
        </w:rPr>
      </w:pPr>
      <w:proofErr w:type="spellStart"/>
      <w:r w:rsidRPr="003F09BB">
        <w:rPr>
          <w:rFonts w:asciiTheme="minorHAnsi" w:hAnsiTheme="minorHAnsi"/>
          <w:b/>
          <w:bCs/>
          <w:sz w:val="22"/>
        </w:rPr>
        <w:t>Hovedemner</w:t>
      </w:r>
      <w:proofErr w:type="spellEnd"/>
      <w:r w:rsidRPr="003F09BB">
        <w:rPr>
          <w:rFonts w:asciiTheme="minorHAnsi" w:hAnsiTheme="minorHAnsi"/>
          <w:b/>
          <w:bCs/>
          <w:sz w:val="22"/>
        </w:rPr>
        <w:t xml:space="preserve"> i </w:t>
      </w:r>
      <w:proofErr w:type="spellStart"/>
      <w:r w:rsidRPr="003F09BB">
        <w:rPr>
          <w:rFonts w:asciiTheme="minorHAnsi" w:hAnsiTheme="minorHAnsi"/>
          <w:b/>
          <w:bCs/>
          <w:sz w:val="22"/>
        </w:rPr>
        <w:t>fagplanen</w:t>
      </w:r>
      <w:r w:rsidRPr="003F09BB">
        <w:rPr>
          <w:rFonts w:asciiTheme="minorHAnsi" w:hAnsiTheme="minorHAnsi"/>
          <w:sz w:val="22"/>
        </w:rPr>
        <w:t>Fagplanen</w:t>
      </w:r>
      <w:proofErr w:type="spellEnd"/>
      <w:r w:rsidRPr="003F09BB">
        <w:rPr>
          <w:rFonts w:asciiTheme="minorHAnsi" w:hAnsiTheme="minorHAnsi"/>
          <w:sz w:val="22"/>
        </w:rPr>
        <w:t xml:space="preserve"> har følgende </w:t>
      </w:r>
      <w:proofErr w:type="spellStart"/>
      <w:r w:rsidRPr="003F09BB">
        <w:rPr>
          <w:rFonts w:asciiTheme="minorHAnsi" w:hAnsiTheme="minorHAnsi"/>
          <w:sz w:val="22"/>
        </w:rPr>
        <w:t>hovedemner</w:t>
      </w:r>
      <w:proofErr w:type="spellEnd"/>
      <w:r w:rsidRPr="003F09BB">
        <w:rPr>
          <w:rFonts w:asciiTheme="minorHAnsi" w:hAnsiTheme="minorHAnsi"/>
          <w:sz w:val="22"/>
        </w:rPr>
        <w:t>:</w:t>
      </w:r>
    </w:p>
    <w:p w14:paraId="4163CA49"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Felles temaer</w:t>
      </w:r>
    </w:p>
    <w:p w14:paraId="2C543CFF"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Bransjespesifikke temaer</w:t>
      </w:r>
    </w:p>
    <w:p w14:paraId="36B4C8C5"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 xml:space="preserve">Produktspesifikke/stillingsspesifikke </w:t>
      </w:r>
      <w:proofErr w:type="spellStart"/>
      <w:r w:rsidRPr="003F09BB">
        <w:rPr>
          <w:rFonts w:asciiTheme="minorHAnsi" w:hAnsiTheme="minorHAnsi"/>
          <w:sz w:val="22"/>
        </w:rPr>
        <w:t>teamer</w:t>
      </w:r>
      <w:proofErr w:type="spellEnd"/>
    </w:p>
    <w:p w14:paraId="50870801" w14:textId="77777777" w:rsidR="003F09BB" w:rsidRPr="003F09BB" w:rsidRDefault="003F09BB" w:rsidP="003F09BB">
      <w:pPr>
        <w:rPr>
          <w:rFonts w:asciiTheme="minorHAnsi" w:hAnsiTheme="minorHAnsi"/>
          <w:sz w:val="22"/>
        </w:rPr>
      </w:pPr>
    </w:p>
    <w:p w14:paraId="674AF16B"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Tidfesting</w:t>
      </w:r>
    </w:p>
    <w:p w14:paraId="411C74A8" w14:textId="77777777" w:rsidR="003F09BB" w:rsidRPr="003F09BB" w:rsidRDefault="003F09BB" w:rsidP="003F09BB">
      <w:pPr>
        <w:rPr>
          <w:rFonts w:asciiTheme="minorHAnsi" w:hAnsiTheme="minorHAnsi"/>
          <w:sz w:val="22"/>
        </w:rPr>
      </w:pPr>
      <w:r w:rsidRPr="003F09BB">
        <w:rPr>
          <w:rFonts w:asciiTheme="minorHAnsi" w:hAnsiTheme="minorHAnsi"/>
          <w:sz w:val="22"/>
        </w:rPr>
        <w:t>Omfanget av de ulike teamene er gradert tidsmessig til lite, middels og stort.</w:t>
      </w:r>
    </w:p>
    <w:p w14:paraId="7BB42240"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Lite – inntil 1 time</w:t>
      </w:r>
    </w:p>
    <w:p w14:paraId="4892ED8E"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Middels – 1 til 3 timer</w:t>
      </w:r>
    </w:p>
    <w:p w14:paraId="47B0479D"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Stort – mer enn 3 timer</w:t>
      </w:r>
    </w:p>
    <w:p w14:paraId="50B82282" w14:textId="77777777" w:rsidR="003F09BB" w:rsidRPr="003F09BB" w:rsidRDefault="003F09BB" w:rsidP="003F09BB">
      <w:pPr>
        <w:rPr>
          <w:rFonts w:asciiTheme="minorHAnsi" w:hAnsiTheme="minorHAnsi"/>
          <w:b/>
          <w:bCs/>
          <w:sz w:val="22"/>
        </w:rPr>
      </w:pPr>
    </w:p>
    <w:p w14:paraId="4310B236"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Graderingen er ment som et forslag til balansering, men stillingens art, tidligere gjennomført etterutdanning og variasjoner fra år til år kan tilsi en annen tidsmessig balansering.</w:t>
      </w:r>
    </w:p>
    <w:p w14:paraId="7291AB6A" w14:textId="77777777" w:rsidR="003F09BB" w:rsidRPr="003F09BB" w:rsidRDefault="003F09BB" w:rsidP="003F09BB">
      <w:pPr>
        <w:rPr>
          <w:rFonts w:asciiTheme="minorHAnsi" w:hAnsiTheme="minorHAnsi"/>
          <w:b/>
          <w:bCs/>
          <w:sz w:val="22"/>
        </w:rPr>
      </w:pPr>
    </w:p>
    <w:p w14:paraId="5969EDA1"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FinAut har utarbeidet en </w:t>
      </w:r>
      <w:proofErr w:type="spellStart"/>
      <w:r w:rsidRPr="003F09BB">
        <w:rPr>
          <w:rFonts w:asciiTheme="minorHAnsi" w:hAnsiTheme="minorHAnsi"/>
          <w:sz w:val="22"/>
        </w:rPr>
        <w:t>bransjemal</w:t>
      </w:r>
      <w:proofErr w:type="spellEnd"/>
      <w:r w:rsidRPr="003F09BB">
        <w:rPr>
          <w:rFonts w:asciiTheme="minorHAnsi" w:hAnsiTheme="minorHAnsi"/>
          <w:sz w:val="22"/>
        </w:rPr>
        <w:t xml:space="preserve"> for tidfesting av gjennomført etterutdanning [</w:t>
      </w:r>
      <w:r w:rsidRPr="003F09BB">
        <w:rPr>
          <w:rFonts w:asciiTheme="minorHAnsi" w:hAnsiTheme="minorHAnsi"/>
          <w:sz w:val="22"/>
          <w:highlight w:val="yellow"/>
        </w:rPr>
        <w:t>hyperlenke legges in</w:t>
      </w:r>
      <w:r w:rsidRPr="003F09BB">
        <w:rPr>
          <w:rFonts w:asciiTheme="minorHAnsi" w:hAnsiTheme="minorHAnsi"/>
          <w:sz w:val="22"/>
        </w:rPr>
        <w:t xml:space="preserve">n]. Det anbefales at denne legges til grunn ved foretakenes og leverandørenes tidsmessige beregning av kurs mv. </w:t>
      </w:r>
    </w:p>
    <w:p w14:paraId="4FCE1786" w14:textId="77777777" w:rsidR="003F09BB" w:rsidRPr="003F09BB" w:rsidRDefault="003F09BB" w:rsidP="003F09BB">
      <w:pPr>
        <w:rPr>
          <w:rFonts w:asciiTheme="minorHAnsi" w:hAnsiTheme="minorHAnsi"/>
          <w:b/>
          <w:bCs/>
          <w:sz w:val="22"/>
        </w:rPr>
      </w:pPr>
    </w:p>
    <w:p w14:paraId="306947F2"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Kunnskapsnivå</w:t>
      </w:r>
    </w:p>
    <w:p w14:paraId="51F9E7B4"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Temaene er ikke gradert i kunnskapsnivå da dette må tilpasses til relevans for den enkelte stilling/funksjon. Foretakene må selv vurdere hvilket kunnskapsnivå som er nødvendig for utdanning av den enkelte ansatte for at dennes kunnskapsnivå oppfyller lovens krav til enhver tid. </w:t>
      </w:r>
    </w:p>
    <w:p w14:paraId="7B3AC798" w14:textId="77777777" w:rsidR="003F09BB" w:rsidRPr="003F09BB" w:rsidRDefault="003F09BB" w:rsidP="003F09BB">
      <w:pPr>
        <w:rPr>
          <w:rFonts w:asciiTheme="minorHAnsi" w:hAnsiTheme="minorHAnsi"/>
          <w:sz w:val="22"/>
        </w:rPr>
      </w:pPr>
    </w:p>
    <w:p w14:paraId="1907FEF1"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Oppdatering og revidering</w:t>
      </w:r>
    </w:p>
    <w:p w14:paraId="62CC2C9B"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Omfanget og forholdet mellom nyheter/faglige endringer og utvalgte fokusområder i fagplanen vil kunne variere fra år til år. Fagplanen vil revideres hvert år. </w:t>
      </w:r>
    </w:p>
    <w:p w14:paraId="4DD813F8" w14:textId="77777777" w:rsidR="003F09BB" w:rsidRPr="003F09BB" w:rsidRDefault="003F09BB" w:rsidP="003F09BB">
      <w:pPr>
        <w:rPr>
          <w:rFonts w:asciiTheme="minorHAnsi" w:hAnsiTheme="minorHAnsi"/>
          <w:sz w:val="22"/>
        </w:rPr>
      </w:pPr>
    </w:p>
    <w:p w14:paraId="7582ECE1"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Fagplanen er publisert xx.xx.22. Det tas sikte på at behov for revidert plan er offentliggjort innen 31.10.23. </w:t>
      </w:r>
    </w:p>
    <w:p w14:paraId="678936AE" w14:textId="77777777" w:rsidR="003F09BB" w:rsidRPr="003F09BB" w:rsidRDefault="003F09BB" w:rsidP="003F09BB">
      <w:pPr>
        <w:rPr>
          <w:rFonts w:asciiTheme="minorHAnsi" w:hAnsiTheme="minorHAnsi"/>
          <w:sz w:val="22"/>
        </w:rPr>
      </w:pPr>
    </w:p>
    <w:p w14:paraId="1603AF8B"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Valg av opplæringsmetode</w:t>
      </w:r>
    </w:p>
    <w:p w14:paraId="2672246A"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Hvilken metode som brukes ved etterutdanningen er opp til den enkelte leverandør og foretak. Dette kan f.eks. være kurs levert av ekstern leverandør spesielt tilpasset for etterutdanning, generelle eksterne kurs, interne kurs, e-kurs, egen lesing med påfølgende diskusjoner arrangert av foretaket eler andre. Det anbefales at utdannelsen tilpasses praktisk bruk i deltakernes hverdag så langt det er mulig og for å sikre kundene en best mulig behandling ved kontakt med tjenesteyter. </w:t>
      </w:r>
    </w:p>
    <w:p w14:paraId="03EBC3D6" w14:textId="77777777" w:rsidR="003F09BB" w:rsidRPr="003F09BB" w:rsidRDefault="003F09BB" w:rsidP="003F09BB">
      <w:pPr>
        <w:rPr>
          <w:rFonts w:asciiTheme="minorHAnsi" w:hAnsiTheme="minorHAnsi"/>
          <w:sz w:val="22"/>
        </w:rPr>
      </w:pPr>
    </w:p>
    <w:p w14:paraId="06C4AD9B"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Foretakene velger selv opplæringsmateriell fra interne eller eksterne kilder. </w:t>
      </w:r>
    </w:p>
    <w:p w14:paraId="4244C403" w14:textId="77777777" w:rsidR="003F09BB" w:rsidRPr="003F09BB" w:rsidRDefault="003F09BB" w:rsidP="003F09BB">
      <w:pPr>
        <w:rPr>
          <w:rFonts w:asciiTheme="minorHAnsi" w:hAnsiTheme="minorHAnsi"/>
          <w:sz w:val="22"/>
        </w:rPr>
      </w:pPr>
    </w:p>
    <w:p w14:paraId="63208379" w14:textId="77777777" w:rsidR="003F09BB" w:rsidRPr="003F09BB" w:rsidRDefault="003F09BB" w:rsidP="003F09BB">
      <w:pPr>
        <w:rPr>
          <w:rFonts w:asciiTheme="minorHAnsi" w:hAnsiTheme="minorHAnsi"/>
          <w:b/>
          <w:bCs/>
          <w:sz w:val="22"/>
          <w:szCs w:val="22"/>
        </w:rPr>
      </w:pPr>
      <w:r w:rsidRPr="003F09BB">
        <w:rPr>
          <w:rFonts w:asciiTheme="minorHAnsi" w:hAnsiTheme="minorHAnsi"/>
          <w:b/>
          <w:bCs/>
          <w:sz w:val="22"/>
          <w:szCs w:val="22"/>
        </w:rPr>
        <w:t>Krav til dokumentasjon</w:t>
      </w:r>
    </w:p>
    <w:p w14:paraId="7160B7BC" w14:textId="77777777" w:rsidR="003F09BB" w:rsidRPr="003F09BB" w:rsidRDefault="003F09BB" w:rsidP="003F09BB">
      <w:pPr>
        <w:rPr>
          <w:rFonts w:ascii="Calibri" w:hAnsi="Calibri"/>
          <w:sz w:val="22"/>
          <w:szCs w:val="22"/>
        </w:rPr>
      </w:pPr>
      <w:r w:rsidRPr="003F09BB">
        <w:rPr>
          <w:rFonts w:asciiTheme="minorHAnsi" w:hAnsiTheme="minorHAnsi"/>
          <w:sz w:val="22"/>
          <w:szCs w:val="22"/>
        </w:rPr>
        <w:t>Forsikringsformidlingsforetaket må til enhver tid kunne dokumentere at kravene til etterutdanning er oppfylt. Dokumentasjonen skal angi</w:t>
      </w:r>
    </w:p>
    <w:p w14:paraId="26758E07" w14:textId="77777777" w:rsidR="003F09BB" w:rsidRPr="003F09BB" w:rsidRDefault="003F09BB" w:rsidP="003F09BB">
      <w:pPr>
        <w:rPr>
          <w:rFonts w:asciiTheme="minorHAnsi" w:hAnsiTheme="minorHAnsi"/>
          <w:sz w:val="22"/>
          <w:szCs w:val="22"/>
        </w:rPr>
      </w:pPr>
      <w:r w:rsidRPr="003F09BB">
        <w:rPr>
          <w:rFonts w:asciiTheme="minorHAnsi" w:hAnsiTheme="minorHAnsi"/>
          <w:sz w:val="22"/>
          <w:szCs w:val="22"/>
        </w:rPr>
        <w:t>a.         navn på ansatt og stilling i foretaket</w:t>
      </w:r>
    </w:p>
    <w:p w14:paraId="06D65739" w14:textId="77777777" w:rsidR="003F09BB" w:rsidRPr="003F09BB" w:rsidRDefault="003F09BB" w:rsidP="003F09BB">
      <w:pPr>
        <w:rPr>
          <w:rFonts w:asciiTheme="minorHAnsi" w:hAnsiTheme="minorHAnsi"/>
          <w:sz w:val="22"/>
          <w:szCs w:val="22"/>
        </w:rPr>
      </w:pPr>
      <w:r w:rsidRPr="003F09BB">
        <w:rPr>
          <w:rFonts w:asciiTheme="minorHAnsi" w:hAnsiTheme="minorHAnsi"/>
          <w:sz w:val="22"/>
          <w:szCs w:val="22"/>
        </w:rPr>
        <w:t>b.         arrangør av etterutdanningen</w:t>
      </w:r>
    </w:p>
    <w:p w14:paraId="67DCCD6B" w14:textId="77777777" w:rsidR="003F09BB" w:rsidRPr="003F09BB" w:rsidRDefault="003F09BB" w:rsidP="003F09BB">
      <w:pPr>
        <w:rPr>
          <w:rFonts w:asciiTheme="minorHAnsi" w:hAnsiTheme="minorHAnsi"/>
          <w:sz w:val="22"/>
          <w:szCs w:val="22"/>
        </w:rPr>
      </w:pPr>
      <w:r w:rsidRPr="003F09BB">
        <w:rPr>
          <w:rFonts w:asciiTheme="minorHAnsi" w:hAnsiTheme="minorHAnsi"/>
          <w:sz w:val="22"/>
          <w:szCs w:val="22"/>
        </w:rPr>
        <w:t>c.         emneområde med kort beskrivelse av kursets innhold</w:t>
      </w:r>
    </w:p>
    <w:p w14:paraId="1CC1660D" w14:textId="77777777" w:rsidR="003F09BB" w:rsidRPr="003F09BB" w:rsidRDefault="003F09BB" w:rsidP="003F09BB">
      <w:pPr>
        <w:rPr>
          <w:rFonts w:asciiTheme="minorHAnsi" w:hAnsiTheme="minorHAnsi"/>
          <w:sz w:val="22"/>
          <w:szCs w:val="22"/>
        </w:rPr>
      </w:pPr>
      <w:r w:rsidRPr="003F09BB">
        <w:rPr>
          <w:rFonts w:asciiTheme="minorHAnsi" w:hAnsiTheme="minorHAnsi"/>
          <w:sz w:val="22"/>
          <w:szCs w:val="22"/>
        </w:rPr>
        <w:t>d.         dato for kursdeltakelser og varighet på kursene.</w:t>
      </w:r>
    </w:p>
    <w:p w14:paraId="4274D4F1" w14:textId="77777777" w:rsidR="003F09BB" w:rsidRPr="003F09BB" w:rsidRDefault="003F09BB" w:rsidP="003F09BB">
      <w:pPr>
        <w:rPr>
          <w:rFonts w:asciiTheme="minorHAnsi" w:hAnsiTheme="minorHAnsi"/>
          <w:sz w:val="20"/>
          <w:szCs w:val="22"/>
        </w:rPr>
      </w:pPr>
    </w:p>
    <w:p w14:paraId="171A01B0"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Foretakene må ha en form for register – internt eller eksternt- som viser gjennomført etterutdanning for den enkelte ansatte med nødvendig dokumentasjon. FinAut har etablert et system for overføring av data knyttet til gjennomførte oppdateringsaktiviteter til FinAuts register fra leverandører og flere medlemsbedrifter. FinAut er åpen for å opprette et register for andre ansatte i medlemsforetak som ønsker dette. </w:t>
      </w:r>
    </w:p>
    <w:p w14:paraId="5BBF7223" w14:textId="77777777" w:rsidR="003F09BB" w:rsidRPr="003F09BB" w:rsidRDefault="003F09BB" w:rsidP="003F09BB">
      <w:pPr>
        <w:rPr>
          <w:rFonts w:asciiTheme="minorHAnsi" w:hAnsiTheme="minorHAnsi"/>
          <w:sz w:val="22"/>
        </w:rPr>
      </w:pPr>
    </w:p>
    <w:p w14:paraId="1BF67256" w14:textId="77777777" w:rsidR="003F09BB" w:rsidRPr="003F09BB" w:rsidRDefault="003F09BB" w:rsidP="003F09BB">
      <w:pPr>
        <w:rPr>
          <w:rFonts w:asciiTheme="minorHAnsi" w:hAnsiTheme="minorHAnsi"/>
          <w:sz w:val="22"/>
        </w:rPr>
      </w:pPr>
    </w:p>
    <w:p w14:paraId="588D14B9" w14:textId="4D0EAA1D" w:rsidR="003F09BB" w:rsidRPr="003F09BB" w:rsidRDefault="003F09BB" w:rsidP="003F09BB">
      <w:pPr>
        <w:rPr>
          <w:rFonts w:asciiTheme="minorHAnsi" w:hAnsiTheme="minorHAnsi"/>
          <w:b/>
          <w:bCs/>
          <w:sz w:val="22"/>
        </w:rPr>
      </w:pPr>
      <w:r w:rsidRPr="003F09BB">
        <w:rPr>
          <w:rFonts w:asciiTheme="minorHAnsi" w:hAnsiTheme="minorHAnsi"/>
          <w:b/>
          <w:bCs/>
          <w:sz w:val="22"/>
        </w:rPr>
        <w:t xml:space="preserve">Del </w:t>
      </w:r>
      <w:r>
        <w:rPr>
          <w:rFonts w:asciiTheme="minorHAnsi" w:hAnsiTheme="minorHAnsi"/>
          <w:b/>
          <w:bCs/>
          <w:sz w:val="22"/>
        </w:rPr>
        <w:t xml:space="preserve">3 </w:t>
      </w:r>
      <w:r w:rsidRPr="003F09BB">
        <w:rPr>
          <w:rFonts w:asciiTheme="minorHAnsi" w:hAnsiTheme="minorHAnsi"/>
          <w:b/>
          <w:bCs/>
          <w:sz w:val="22"/>
        </w:rPr>
        <w:t>Fa</w:t>
      </w:r>
      <w:r w:rsidR="00E21917">
        <w:rPr>
          <w:rFonts w:asciiTheme="minorHAnsi" w:hAnsiTheme="minorHAnsi"/>
          <w:b/>
          <w:bCs/>
          <w:sz w:val="22"/>
        </w:rPr>
        <w:t>gplan</w:t>
      </w:r>
      <w:r w:rsidRPr="003F09BB">
        <w:rPr>
          <w:rFonts w:asciiTheme="minorHAnsi" w:hAnsiTheme="minorHAnsi"/>
          <w:b/>
          <w:bCs/>
          <w:sz w:val="22"/>
        </w:rPr>
        <w:t xml:space="preserve"> for etterutdanning </w:t>
      </w:r>
    </w:p>
    <w:p w14:paraId="3760E1FD" w14:textId="77777777" w:rsidR="003F09BB" w:rsidRPr="003F09BB" w:rsidRDefault="003F09BB" w:rsidP="003F09BB">
      <w:pPr>
        <w:rPr>
          <w:rFonts w:asciiTheme="minorHAnsi" w:hAnsiTheme="minorHAnsi"/>
          <w:sz w:val="22"/>
        </w:rPr>
      </w:pPr>
    </w:p>
    <w:p w14:paraId="1ACA6627" w14:textId="4990D419" w:rsidR="003F09BB" w:rsidRPr="003F09BB" w:rsidRDefault="003F09BB" w:rsidP="003F09BB">
      <w:pPr>
        <w:tabs>
          <w:tab w:val="left" w:pos="567"/>
        </w:tabs>
        <w:rPr>
          <w:rFonts w:asciiTheme="minorHAnsi" w:hAnsiTheme="minorHAnsi"/>
          <w:b/>
          <w:bCs/>
          <w:sz w:val="22"/>
        </w:rPr>
      </w:pPr>
      <w:r>
        <w:rPr>
          <w:rFonts w:asciiTheme="minorHAnsi" w:hAnsiTheme="minorHAnsi"/>
          <w:b/>
          <w:bCs/>
          <w:sz w:val="22"/>
        </w:rPr>
        <w:t>3</w:t>
      </w:r>
      <w:r w:rsidRPr="003F09BB">
        <w:rPr>
          <w:rFonts w:asciiTheme="minorHAnsi" w:hAnsiTheme="minorHAnsi"/>
          <w:b/>
          <w:bCs/>
          <w:sz w:val="22"/>
        </w:rPr>
        <w:t>.1</w:t>
      </w:r>
      <w:r>
        <w:rPr>
          <w:rFonts w:asciiTheme="minorHAnsi" w:hAnsiTheme="minorHAnsi"/>
          <w:b/>
          <w:bCs/>
          <w:sz w:val="22"/>
        </w:rPr>
        <w:t xml:space="preserve"> </w:t>
      </w:r>
      <w:r w:rsidRPr="003F09BB">
        <w:rPr>
          <w:rFonts w:asciiTheme="minorHAnsi" w:hAnsiTheme="minorHAnsi"/>
          <w:b/>
          <w:bCs/>
          <w:sz w:val="22"/>
        </w:rPr>
        <w:t>Felles temaer</w:t>
      </w:r>
    </w:p>
    <w:p w14:paraId="61BDA555" w14:textId="77777777" w:rsidR="003F09BB" w:rsidRPr="003F09BB" w:rsidRDefault="003F09BB" w:rsidP="003F09BB">
      <w:pPr>
        <w:rPr>
          <w:rFonts w:asciiTheme="minorHAnsi" w:hAnsiTheme="minorHAnsi"/>
          <w:b/>
          <w:bCs/>
          <w:sz w:val="22"/>
        </w:rPr>
      </w:pPr>
    </w:p>
    <w:p w14:paraId="437C8C70" w14:textId="77777777" w:rsidR="003F09BB" w:rsidRPr="003F09BB" w:rsidRDefault="003F09BB" w:rsidP="003F09BB">
      <w:pPr>
        <w:rPr>
          <w:rFonts w:asciiTheme="minorHAnsi" w:hAnsiTheme="minorHAnsi"/>
          <w:sz w:val="22"/>
        </w:rPr>
      </w:pPr>
      <w:r w:rsidRPr="003F09BB">
        <w:rPr>
          <w:rFonts w:asciiTheme="minorHAnsi" w:hAnsiTheme="minorHAnsi"/>
          <w:b/>
          <w:bCs/>
          <w:sz w:val="22"/>
        </w:rPr>
        <w:t>Tema 1: Regulatorisk utvikling</w:t>
      </w:r>
    </w:p>
    <w:p w14:paraId="1C24875F"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Omfatter både regulatoriske endringer og rettspraksis som klargjør krav og innhold i forsikringsformidlingen. Hovedfokus bør være det grunnleggende lovverket og endringer som har skjedd i eller i tilknytning til dette det siste året. </w:t>
      </w:r>
    </w:p>
    <w:p w14:paraId="406A0374" w14:textId="77777777" w:rsidR="003F09BB" w:rsidRPr="003F09BB" w:rsidRDefault="003F09BB" w:rsidP="003F09BB">
      <w:pPr>
        <w:rPr>
          <w:rFonts w:asciiTheme="minorHAnsi" w:hAnsiTheme="minorHAnsi"/>
          <w:sz w:val="22"/>
        </w:rPr>
      </w:pPr>
    </w:p>
    <w:p w14:paraId="3E135EF8" w14:textId="77777777" w:rsidR="003F09BB" w:rsidRPr="003F09BB" w:rsidRDefault="003F09BB" w:rsidP="003F09BB">
      <w:pPr>
        <w:rPr>
          <w:rFonts w:asciiTheme="minorHAnsi" w:hAnsiTheme="minorHAnsi"/>
          <w:color w:val="4F81BD" w:themeColor="accent1"/>
          <w:sz w:val="22"/>
        </w:rPr>
      </w:pPr>
      <w:r w:rsidRPr="003F09BB">
        <w:rPr>
          <w:rFonts w:asciiTheme="minorHAnsi" w:hAnsiTheme="minorHAnsi"/>
          <w:color w:val="4F81BD" w:themeColor="accent1"/>
          <w:sz w:val="22"/>
        </w:rPr>
        <w:t>Lov om forsikringsformidling</w:t>
      </w:r>
    </w:p>
    <w:p w14:paraId="082F242B" w14:textId="77777777" w:rsidR="003F09BB" w:rsidRPr="003F09BB" w:rsidRDefault="003F09BB" w:rsidP="003F09BB">
      <w:pPr>
        <w:rPr>
          <w:rFonts w:asciiTheme="minorHAnsi" w:hAnsiTheme="minorHAnsi"/>
          <w:sz w:val="22"/>
        </w:rPr>
      </w:pPr>
      <w:r w:rsidRPr="003F09BB">
        <w:rPr>
          <w:rFonts w:asciiTheme="minorHAnsi" w:hAnsiTheme="minorHAnsi"/>
          <w:sz w:val="22"/>
        </w:rPr>
        <w:t>Begrunnelse: Loven er sentral for hvilke plikter man har som forsikringsformidler samtidig er den ny.</w:t>
      </w:r>
    </w:p>
    <w:p w14:paraId="138B3175" w14:textId="77777777" w:rsidR="003F09BB" w:rsidRPr="003F09BB" w:rsidRDefault="003F09BB" w:rsidP="003F09BB">
      <w:pPr>
        <w:rPr>
          <w:rFonts w:asciiTheme="minorHAnsi" w:hAnsiTheme="minorHAnsi"/>
          <w:sz w:val="22"/>
        </w:rPr>
      </w:pPr>
    </w:p>
    <w:p w14:paraId="5DF512F2" w14:textId="77777777" w:rsidR="003F09BB" w:rsidRPr="003F09BB" w:rsidRDefault="003F09BB" w:rsidP="003F09BB">
      <w:pPr>
        <w:rPr>
          <w:rFonts w:asciiTheme="minorHAnsi" w:hAnsiTheme="minorHAnsi"/>
          <w:sz w:val="22"/>
        </w:rPr>
      </w:pPr>
      <w:r w:rsidRPr="003F09BB">
        <w:rPr>
          <w:rFonts w:asciiTheme="minorHAnsi" w:hAnsiTheme="minorHAnsi"/>
          <w:sz w:val="22"/>
        </w:rPr>
        <w:t>Innhold:</w:t>
      </w:r>
    </w:p>
    <w:p w14:paraId="1DE4A5A8"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Hva som anses som forsikringsdistribusjon</w:t>
      </w:r>
    </w:p>
    <w:p w14:paraId="67B3EC67"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Hvem som omfattes av loven</w:t>
      </w:r>
    </w:p>
    <w:p w14:paraId="7C812B78"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Innholdet i etterutdanningskravet – lov og forskrift</w:t>
      </w:r>
    </w:p>
    <w:p w14:paraId="026D84B2"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Styrking av kundenes interesser, likebehandling uavhengig av salgskanal</w:t>
      </w:r>
    </w:p>
    <w:p w14:paraId="3E885BEF" w14:textId="77777777" w:rsidR="003F09BB" w:rsidRPr="003F09BB" w:rsidRDefault="003F09BB" w:rsidP="003F09BB">
      <w:pPr>
        <w:rPr>
          <w:rFonts w:asciiTheme="minorHAnsi" w:hAnsiTheme="minorHAnsi"/>
          <w:sz w:val="22"/>
        </w:rPr>
      </w:pPr>
    </w:p>
    <w:p w14:paraId="103BAD4E" w14:textId="77777777" w:rsidR="003F09BB" w:rsidRPr="003F09BB" w:rsidRDefault="003F09BB" w:rsidP="003F09BB">
      <w:pPr>
        <w:rPr>
          <w:rFonts w:asciiTheme="minorHAnsi" w:hAnsiTheme="minorHAnsi"/>
          <w:color w:val="4F81BD" w:themeColor="accent1"/>
          <w:sz w:val="22"/>
        </w:rPr>
      </w:pPr>
      <w:r w:rsidRPr="003F09BB">
        <w:rPr>
          <w:rFonts w:asciiTheme="minorHAnsi" w:hAnsiTheme="minorHAnsi"/>
          <w:color w:val="4F81BD" w:themeColor="accent1"/>
          <w:sz w:val="22"/>
        </w:rPr>
        <w:t>Endret forsikringsavtalelov</w:t>
      </w:r>
    </w:p>
    <w:p w14:paraId="5C744CC5" w14:textId="77777777" w:rsidR="003F09BB" w:rsidRPr="003F09BB" w:rsidRDefault="003F09BB" w:rsidP="003F09BB">
      <w:pPr>
        <w:rPr>
          <w:rFonts w:asciiTheme="minorHAnsi" w:hAnsiTheme="minorHAnsi"/>
          <w:sz w:val="22"/>
        </w:rPr>
      </w:pPr>
      <w:r w:rsidRPr="003F09BB">
        <w:rPr>
          <w:rFonts w:asciiTheme="minorHAnsi" w:hAnsiTheme="minorHAnsi"/>
          <w:sz w:val="22"/>
        </w:rPr>
        <w:t>Begrunnelse: Loven er endret. De alminnelige delene og avsluttende del av loven er nye.</w:t>
      </w:r>
    </w:p>
    <w:p w14:paraId="74B20DAF" w14:textId="77777777" w:rsidR="003F09BB" w:rsidRPr="003F09BB" w:rsidRDefault="003F09BB" w:rsidP="003F09BB">
      <w:pPr>
        <w:rPr>
          <w:rFonts w:asciiTheme="minorHAnsi" w:hAnsiTheme="minorHAnsi"/>
          <w:sz w:val="22"/>
        </w:rPr>
      </w:pPr>
    </w:p>
    <w:p w14:paraId="6DC3F6E5"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Innhold: </w:t>
      </w:r>
    </w:p>
    <w:p w14:paraId="11E3A701"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 xml:space="preserve">Sammenhengen med ny </w:t>
      </w:r>
      <w:proofErr w:type="spellStart"/>
      <w:r w:rsidRPr="003F09BB">
        <w:rPr>
          <w:rFonts w:asciiTheme="minorHAnsi" w:hAnsiTheme="minorHAnsi"/>
          <w:sz w:val="22"/>
        </w:rPr>
        <w:t>forsikringsformidlingslov</w:t>
      </w:r>
      <w:proofErr w:type="spellEnd"/>
    </w:p>
    <w:p w14:paraId="658A95EC"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Hvem som omfattes av loven</w:t>
      </w:r>
    </w:p>
    <w:p w14:paraId="10A6604B"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Generelle plikter overfor kundene lagt inn i loven – ivaretakelse av kundens interesse – sikring av at tilbud er i samsvar med kundens krav og behov</w:t>
      </w:r>
    </w:p>
    <w:p w14:paraId="59C8E3C1"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IPID – innhold og funksjon når dette gjennomføres</w:t>
      </w:r>
    </w:p>
    <w:p w14:paraId="0AD63A09" w14:textId="77777777" w:rsidR="003F09BB" w:rsidRPr="003F09BB" w:rsidRDefault="003F09BB" w:rsidP="003F09BB">
      <w:pPr>
        <w:rPr>
          <w:rFonts w:asciiTheme="minorHAnsi" w:hAnsiTheme="minorHAnsi"/>
          <w:sz w:val="22"/>
        </w:rPr>
      </w:pPr>
    </w:p>
    <w:p w14:paraId="577D135B" w14:textId="77777777" w:rsidR="003F09BB" w:rsidRPr="003F09BB" w:rsidRDefault="003F09BB" w:rsidP="003F09BB">
      <w:pPr>
        <w:rPr>
          <w:rFonts w:asciiTheme="minorHAnsi" w:hAnsiTheme="minorHAnsi"/>
          <w:color w:val="4F81BD" w:themeColor="accent1"/>
          <w:sz w:val="22"/>
        </w:rPr>
      </w:pPr>
      <w:r w:rsidRPr="003F09BB">
        <w:rPr>
          <w:rFonts w:asciiTheme="minorHAnsi" w:hAnsiTheme="minorHAnsi"/>
          <w:color w:val="4F81BD" w:themeColor="accent1"/>
          <w:sz w:val="22"/>
        </w:rPr>
        <w:t>Andre mulige rettsområder:</w:t>
      </w:r>
    </w:p>
    <w:p w14:paraId="745C6AB7" w14:textId="77777777" w:rsidR="003F09BB" w:rsidRPr="003F09BB" w:rsidRDefault="003F09BB" w:rsidP="003F09BB">
      <w:pPr>
        <w:rPr>
          <w:rFonts w:asciiTheme="minorHAnsi" w:hAnsiTheme="minorHAnsi"/>
          <w:sz w:val="22"/>
        </w:rPr>
      </w:pPr>
      <w:r w:rsidRPr="003F09BB">
        <w:rPr>
          <w:rFonts w:asciiTheme="minorHAnsi" w:hAnsiTheme="minorHAnsi"/>
          <w:sz w:val="22"/>
        </w:rPr>
        <w:t>Personvern</w:t>
      </w:r>
    </w:p>
    <w:p w14:paraId="1876D476" w14:textId="77777777" w:rsidR="003F09BB" w:rsidRPr="003F09BB" w:rsidRDefault="003F09BB" w:rsidP="003F09BB">
      <w:pPr>
        <w:rPr>
          <w:rFonts w:asciiTheme="minorHAnsi" w:hAnsiTheme="minorHAnsi"/>
          <w:sz w:val="22"/>
        </w:rPr>
      </w:pPr>
      <w:r w:rsidRPr="003F09BB">
        <w:rPr>
          <w:rFonts w:asciiTheme="minorHAnsi" w:hAnsiTheme="minorHAnsi"/>
          <w:sz w:val="22"/>
        </w:rPr>
        <w:lastRenderedPageBreak/>
        <w:t>Hvitvasking</w:t>
      </w:r>
    </w:p>
    <w:p w14:paraId="21C16E96" w14:textId="77777777" w:rsidR="003F09BB" w:rsidRPr="003F09BB" w:rsidRDefault="003F09BB" w:rsidP="003F09BB">
      <w:pPr>
        <w:rPr>
          <w:rFonts w:asciiTheme="minorHAnsi" w:hAnsiTheme="minorHAnsi"/>
          <w:sz w:val="22"/>
        </w:rPr>
      </w:pPr>
    </w:p>
    <w:p w14:paraId="14BC416B" w14:textId="77777777" w:rsidR="003F09BB" w:rsidRPr="003F09BB" w:rsidRDefault="003F09BB" w:rsidP="003F09BB">
      <w:pPr>
        <w:rPr>
          <w:rFonts w:asciiTheme="minorHAnsi" w:hAnsiTheme="minorHAnsi"/>
          <w:sz w:val="22"/>
        </w:rPr>
      </w:pPr>
      <w:r w:rsidRPr="003F09BB">
        <w:rPr>
          <w:rFonts w:asciiTheme="minorHAnsi" w:hAnsiTheme="minorHAnsi"/>
          <w:sz w:val="22"/>
        </w:rPr>
        <w:t>Omfang tema 1:</w:t>
      </w:r>
    </w:p>
    <w:p w14:paraId="15265FF2" w14:textId="77777777" w:rsidR="003F09BB" w:rsidRPr="003F09BB" w:rsidRDefault="003F09BB" w:rsidP="003F09BB">
      <w:pPr>
        <w:rPr>
          <w:rFonts w:asciiTheme="minorHAnsi" w:hAnsiTheme="minorHAnsi"/>
          <w:i/>
          <w:iCs/>
          <w:sz w:val="22"/>
        </w:rPr>
      </w:pPr>
      <w:r w:rsidRPr="003F09BB">
        <w:rPr>
          <w:rFonts w:asciiTheme="minorHAnsi" w:hAnsiTheme="minorHAnsi"/>
          <w:i/>
          <w:iCs/>
          <w:sz w:val="22"/>
        </w:rPr>
        <w:t>Middels</w:t>
      </w:r>
    </w:p>
    <w:p w14:paraId="7C3B719F" w14:textId="77777777" w:rsidR="003F09BB" w:rsidRPr="003F09BB" w:rsidRDefault="003F09BB" w:rsidP="003F09BB">
      <w:pPr>
        <w:rPr>
          <w:rFonts w:asciiTheme="minorHAnsi" w:hAnsiTheme="minorHAnsi"/>
          <w:sz w:val="22"/>
        </w:rPr>
      </w:pPr>
    </w:p>
    <w:p w14:paraId="0F82CF22"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Tema 2: God skikk</w:t>
      </w:r>
    </w:p>
    <w:p w14:paraId="28511442"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Begrunnelse: Krav til god skikk er av stor viktighet for å ivareta næringens og foretakenes renomme. FinAuts bransjenorm God skikk er næringens felles regler ved rådgivning, informasjon, veiledning og salg i forbrukermarkedet. Bransjenormen gjelder både for personlig og digital betjening av kunder. </w:t>
      </w:r>
    </w:p>
    <w:p w14:paraId="4982F7B3" w14:textId="77777777" w:rsidR="003F09BB" w:rsidRPr="003F09BB" w:rsidRDefault="003F09BB" w:rsidP="003F09BB">
      <w:pPr>
        <w:rPr>
          <w:rFonts w:asciiTheme="minorHAnsi" w:hAnsiTheme="minorHAnsi"/>
          <w:sz w:val="22"/>
        </w:rPr>
      </w:pPr>
    </w:p>
    <w:p w14:paraId="4065720F" w14:textId="77777777" w:rsidR="003F09BB" w:rsidRPr="003F09BB" w:rsidRDefault="003F09BB" w:rsidP="003F09BB">
      <w:pPr>
        <w:rPr>
          <w:rFonts w:asciiTheme="minorHAnsi" w:hAnsiTheme="minorHAnsi"/>
          <w:sz w:val="22"/>
        </w:rPr>
      </w:pPr>
      <w:r w:rsidRPr="003F09BB">
        <w:rPr>
          <w:rFonts w:asciiTheme="minorHAnsi" w:hAnsiTheme="minorHAnsi"/>
          <w:sz w:val="22"/>
        </w:rPr>
        <w:t>Innhold:</w:t>
      </w:r>
    </w:p>
    <w:p w14:paraId="0ED56FBC"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Bakgrunnen for bransjereglene og hvilke hensyn de ivaretar</w:t>
      </w:r>
    </w:p>
    <w:p w14:paraId="2D2C414F"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Bruk av reglene i konkrete situasjoner</w:t>
      </w:r>
    </w:p>
    <w:p w14:paraId="15D24E84"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Skillet mellom rådgivning og annen kundekontakt og betydningen av dette skillet</w:t>
      </w:r>
    </w:p>
    <w:p w14:paraId="401AD720"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Skille mellom forsikringsagentens rolle og forsikringsforetakets rolle dersom det er relevant for virksomheten</w:t>
      </w:r>
    </w:p>
    <w:p w14:paraId="60BBB0CD"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Identifisering av interessekonflikter og håndteringen av situasjoner der interessekonflikter kan oppstå</w:t>
      </w:r>
    </w:p>
    <w:p w14:paraId="1B7AA1EF"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Forståelsen av særstillingen til forsikringsforetak og det samfunnsansvar som ligger i dette</w:t>
      </w:r>
    </w:p>
    <w:p w14:paraId="4AA31229"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Gjenkjenning av etiske dilemmaer</w:t>
      </w:r>
    </w:p>
    <w:p w14:paraId="6CFC7B8B"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Grunnleggende kjennskap til bransjenormer om god skikk</w:t>
      </w:r>
    </w:p>
    <w:p w14:paraId="2D1C7CBB" w14:textId="77777777" w:rsidR="003F09BB" w:rsidRPr="003F09BB" w:rsidRDefault="003F09BB" w:rsidP="003F09BB">
      <w:pPr>
        <w:ind w:left="720"/>
        <w:contextualSpacing/>
        <w:rPr>
          <w:rFonts w:asciiTheme="minorHAnsi" w:hAnsiTheme="minorHAnsi"/>
          <w:sz w:val="22"/>
        </w:rPr>
      </w:pPr>
    </w:p>
    <w:p w14:paraId="38E9E7E1" w14:textId="77777777" w:rsidR="003F09BB" w:rsidRPr="003F09BB" w:rsidRDefault="003F09BB" w:rsidP="003F09BB">
      <w:pPr>
        <w:rPr>
          <w:rFonts w:asciiTheme="minorHAnsi" w:hAnsiTheme="minorHAnsi"/>
          <w:sz w:val="22"/>
        </w:rPr>
      </w:pPr>
      <w:r w:rsidRPr="003F09BB">
        <w:rPr>
          <w:rFonts w:asciiTheme="minorHAnsi" w:hAnsiTheme="minorHAnsi"/>
          <w:sz w:val="22"/>
        </w:rPr>
        <w:t>Omfang tema 2:</w:t>
      </w:r>
    </w:p>
    <w:p w14:paraId="00716355" w14:textId="77777777" w:rsidR="003F09BB" w:rsidRPr="003F09BB" w:rsidRDefault="003F09BB" w:rsidP="003F09BB">
      <w:pPr>
        <w:rPr>
          <w:rFonts w:asciiTheme="minorHAnsi" w:hAnsiTheme="minorHAnsi"/>
          <w:i/>
          <w:iCs/>
          <w:sz w:val="22"/>
        </w:rPr>
      </w:pPr>
      <w:r w:rsidRPr="003F09BB">
        <w:rPr>
          <w:rFonts w:asciiTheme="minorHAnsi" w:hAnsiTheme="minorHAnsi"/>
          <w:i/>
          <w:iCs/>
          <w:sz w:val="22"/>
        </w:rPr>
        <w:t>Lite</w:t>
      </w:r>
    </w:p>
    <w:p w14:paraId="18FC5706" w14:textId="77777777" w:rsidR="003F09BB" w:rsidRPr="003F09BB" w:rsidRDefault="003F09BB" w:rsidP="003F09BB">
      <w:pPr>
        <w:rPr>
          <w:rFonts w:asciiTheme="minorHAnsi" w:hAnsiTheme="minorHAnsi"/>
          <w:i/>
          <w:iCs/>
          <w:sz w:val="22"/>
        </w:rPr>
      </w:pPr>
    </w:p>
    <w:p w14:paraId="23A33BED" w14:textId="77777777" w:rsidR="003F09BB" w:rsidRPr="003F09BB" w:rsidRDefault="003F09BB" w:rsidP="003F09BB">
      <w:pPr>
        <w:rPr>
          <w:rFonts w:asciiTheme="minorHAnsi" w:hAnsiTheme="minorHAnsi"/>
          <w:sz w:val="22"/>
        </w:rPr>
      </w:pPr>
      <w:r w:rsidRPr="003F09BB">
        <w:rPr>
          <w:rFonts w:asciiTheme="minorHAnsi" w:hAnsiTheme="minorHAnsi"/>
          <w:b/>
          <w:bCs/>
          <w:sz w:val="22"/>
        </w:rPr>
        <w:t>Tema 3: Etikk</w:t>
      </w:r>
    </w:p>
    <w:p w14:paraId="483EC1A9" w14:textId="77777777" w:rsidR="003F09BB" w:rsidRPr="003F09BB" w:rsidRDefault="003F09BB" w:rsidP="003F09BB">
      <w:pPr>
        <w:rPr>
          <w:rFonts w:asciiTheme="minorHAnsi" w:hAnsiTheme="minorHAnsi"/>
          <w:sz w:val="22"/>
        </w:rPr>
      </w:pPr>
      <w:r w:rsidRPr="003F09BB">
        <w:rPr>
          <w:rFonts w:asciiTheme="minorHAnsi" w:hAnsiTheme="minorHAnsi"/>
          <w:sz w:val="22"/>
        </w:rPr>
        <w:t xml:space="preserve">Begrunnelse: Ansatte som jobber med forsikringsformidling og deres ledere må kunne gjenkjenne etiske utfordringer og dilemmaer i arbeidshverdagen og håndtere disse på ansvarlig og profesjonell måte. </w:t>
      </w:r>
    </w:p>
    <w:p w14:paraId="2A984853" w14:textId="77777777" w:rsidR="003F09BB" w:rsidRPr="003F09BB" w:rsidRDefault="003F09BB" w:rsidP="003F09BB">
      <w:pPr>
        <w:rPr>
          <w:rFonts w:asciiTheme="minorHAnsi" w:hAnsiTheme="minorHAnsi"/>
          <w:sz w:val="22"/>
        </w:rPr>
      </w:pPr>
    </w:p>
    <w:p w14:paraId="2F1B64BB" w14:textId="77777777" w:rsidR="003F09BB" w:rsidRPr="003F09BB" w:rsidRDefault="003F09BB" w:rsidP="003F09BB">
      <w:pPr>
        <w:rPr>
          <w:rFonts w:asciiTheme="minorHAnsi" w:hAnsiTheme="minorHAnsi"/>
          <w:sz w:val="22"/>
        </w:rPr>
      </w:pPr>
      <w:r w:rsidRPr="003F09BB">
        <w:rPr>
          <w:rFonts w:asciiTheme="minorHAnsi" w:hAnsiTheme="minorHAnsi"/>
          <w:sz w:val="22"/>
        </w:rPr>
        <w:t>Innhold:</w:t>
      </w:r>
    </w:p>
    <w:p w14:paraId="48F425D6"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Gjenkjenning av etiske utfordringer og dilemmaer i arbeidshverdagen</w:t>
      </w:r>
    </w:p>
    <w:p w14:paraId="595C5CA8"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Håndtering av etiske utfordringer og dilemmaer, herunder interne rutiner/retningslinjer</w:t>
      </w:r>
    </w:p>
    <w:p w14:paraId="475B71AC"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Identifisering av interessekonflikter og håndteringen av situasjoner der interessekonflikter kan oppstå</w:t>
      </w:r>
    </w:p>
    <w:p w14:paraId="1A24A8C1"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Forståelsen av særstillingen til forsikringsforetak og det samfunnsansvar som ligger i dette</w:t>
      </w:r>
    </w:p>
    <w:p w14:paraId="0B6AC2B7"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Skillet mellom rådgivning og annen kundekontakt og betydningen av dette skillet</w:t>
      </w:r>
    </w:p>
    <w:p w14:paraId="19BCAEB7"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Skille mellom forsikringsagentens rolle og forsikringsforetakets rolle dersom det er relevant for virksomheten</w:t>
      </w:r>
    </w:p>
    <w:p w14:paraId="21A56DB4" w14:textId="77777777" w:rsidR="003F09BB" w:rsidRPr="003F09BB" w:rsidRDefault="003F09BB" w:rsidP="003F09BB">
      <w:pPr>
        <w:contextualSpacing/>
        <w:rPr>
          <w:rFonts w:asciiTheme="minorHAnsi" w:hAnsiTheme="minorHAnsi"/>
          <w:b/>
          <w:bCs/>
          <w:sz w:val="22"/>
        </w:rPr>
      </w:pPr>
    </w:p>
    <w:p w14:paraId="626E5BAB" w14:textId="4C09F518" w:rsidR="003F09BB" w:rsidRPr="003F09BB" w:rsidRDefault="003F09BB" w:rsidP="003F09BB">
      <w:pPr>
        <w:tabs>
          <w:tab w:val="left" w:pos="567"/>
        </w:tabs>
        <w:rPr>
          <w:rFonts w:asciiTheme="minorHAnsi" w:hAnsiTheme="minorHAnsi"/>
          <w:b/>
          <w:bCs/>
          <w:sz w:val="22"/>
        </w:rPr>
      </w:pPr>
      <w:r>
        <w:rPr>
          <w:rFonts w:asciiTheme="minorHAnsi" w:hAnsiTheme="minorHAnsi"/>
          <w:b/>
          <w:bCs/>
          <w:sz w:val="22"/>
        </w:rPr>
        <w:t>3</w:t>
      </w:r>
      <w:r w:rsidRPr="003F09BB">
        <w:rPr>
          <w:rFonts w:asciiTheme="minorHAnsi" w:hAnsiTheme="minorHAnsi"/>
          <w:b/>
          <w:bCs/>
          <w:sz w:val="22"/>
        </w:rPr>
        <w:t>.2</w:t>
      </w:r>
      <w:r>
        <w:rPr>
          <w:rFonts w:asciiTheme="minorHAnsi" w:hAnsiTheme="minorHAnsi"/>
          <w:b/>
          <w:bCs/>
          <w:sz w:val="22"/>
        </w:rPr>
        <w:t xml:space="preserve"> </w:t>
      </w:r>
      <w:r w:rsidRPr="003F09BB">
        <w:rPr>
          <w:rFonts w:asciiTheme="minorHAnsi" w:hAnsiTheme="minorHAnsi"/>
          <w:b/>
          <w:bCs/>
          <w:sz w:val="22"/>
        </w:rPr>
        <w:t>Bransjespesifikke temaer</w:t>
      </w:r>
    </w:p>
    <w:p w14:paraId="3EBFA1B0" w14:textId="77777777" w:rsidR="003F09BB" w:rsidRPr="003F09BB" w:rsidRDefault="003F09BB" w:rsidP="003F09BB">
      <w:pPr>
        <w:rPr>
          <w:rFonts w:asciiTheme="minorHAnsi" w:hAnsiTheme="minorHAnsi"/>
          <w:sz w:val="22"/>
        </w:rPr>
      </w:pPr>
      <w:r w:rsidRPr="003F09BB">
        <w:rPr>
          <w:rFonts w:asciiTheme="minorHAnsi" w:hAnsiTheme="minorHAnsi"/>
          <w:sz w:val="22"/>
        </w:rPr>
        <w:t>Med bransjer tenkes det på skadeforsikringer, personforsikring og livsforsikringer utenom pensjon, og pensjons-/sparing- og investeringsprodukter.</w:t>
      </w:r>
    </w:p>
    <w:p w14:paraId="58AAAC5C" w14:textId="77777777" w:rsidR="003F09BB" w:rsidRPr="003F09BB" w:rsidRDefault="003F09BB" w:rsidP="003F09BB">
      <w:pPr>
        <w:rPr>
          <w:rFonts w:asciiTheme="minorHAnsi" w:hAnsiTheme="minorHAnsi"/>
          <w:sz w:val="22"/>
        </w:rPr>
      </w:pPr>
    </w:p>
    <w:p w14:paraId="26A333F1" w14:textId="77777777" w:rsidR="003F09BB" w:rsidRPr="003F09BB" w:rsidRDefault="003F09BB" w:rsidP="003F09BB">
      <w:pPr>
        <w:rPr>
          <w:rFonts w:asciiTheme="minorHAnsi" w:hAnsiTheme="minorHAnsi"/>
          <w:sz w:val="22"/>
        </w:rPr>
      </w:pPr>
      <w:r w:rsidRPr="003F09BB">
        <w:rPr>
          <w:rFonts w:asciiTheme="minorHAnsi" w:hAnsiTheme="minorHAnsi"/>
          <w:sz w:val="22"/>
        </w:rPr>
        <w:lastRenderedPageBreak/>
        <w:t xml:space="preserve">Begrunnelse: Formidling av forsikring dekker et veldig stort omfang av produkter. Produktene vil ha store forskjeller, men innenfor den enkelte bransje vil produktene kunne ha en del fellestrekk og felles problemstillinger eller regulering. </w:t>
      </w:r>
    </w:p>
    <w:p w14:paraId="5E0C7B51" w14:textId="77777777" w:rsidR="003F09BB" w:rsidRPr="003F09BB" w:rsidRDefault="003F09BB" w:rsidP="003F09BB">
      <w:pPr>
        <w:rPr>
          <w:rFonts w:asciiTheme="minorHAnsi" w:hAnsiTheme="minorHAnsi"/>
          <w:sz w:val="22"/>
        </w:rPr>
      </w:pPr>
    </w:p>
    <w:p w14:paraId="1FE3B94E" w14:textId="77777777" w:rsidR="003F09BB" w:rsidRPr="003F09BB" w:rsidRDefault="003F09BB" w:rsidP="003F09BB">
      <w:pPr>
        <w:rPr>
          <w:rFonts w:asciiTheme="minorHAnsi" w:hAnsiTheme="minorHAnsi"/>
          <w:sz w:val="22"/>
        </w:rPr>
      </w:pPr>
      <w:r w:rsidRPr="003F09BB">
        <w:rPr>
          <w:rFonts w:asciiTheme="minorHAnsi" w:hAnsiTheme="minorHAnsi"/>
          <w:sz w:val="22"/>
        </w:rPr>
        <w:t>Det er ikke nødvendig at alle innholdsmessige punkter berøres hvert år, men leverandørene/forsikringsforetaket må sørge for at punktene dekkes med jevne mellom som repetisjon eller når det skjer utvikling under punktene. Listen må heller ikke oppfattes som uttømmende.</w:t>
      </w:r>
    </w:p>
    <w:p w14:paraId="7E48A7DE" w14:textId="77777777" w:rsidR="003F09BB" w:rsidRPr="003F09BB" w:rsidRDefault="003F09BB" w:rsidP="003F09BB">
      <w:pPr>
        <w:rPr>
          <w:rFonts w:asciiTheme="minorHAnsi" w:hAnsiTheme="minorHAnsi"/>
          <w:sz w:val="22"/>
        </w:rPr>
      </w:pPr>
    </w:p>
    <w:p w14:paraId="445CFB3D"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Tema 1: Skadeforsikring</w:t>
      </w:r>
    </w:p>
    <w:p w14:paraId="3E1F3C49" w14:textId="77777777" w:rsidR="003F09BB" w:rsidRPr="003F09BB" w:rsidRDefault="003F09BB" w:rsidP="003F09BB">
      <w:pPr>
        <w:rPr>
          <w:rFonts w:asciiTheme="minorHAnsi" w:hAnsiTheme="minorHAnsi"/>
          <w:b/>
          <w:bCs/>
          <w:sz w:val="22"/>
        </w:rPr>
      </w:pPr>
      <w:r w:rsidRPr="003F09BB">
        <w:rPr>
          <w:rFonts w:asciiTheme="minorHAnsi" w:hAnsiTheme="minorHAnsi"/>
          <w:sz w:val="22"/>
        </w:rPr>
        <w:t>Innhold</w:t>
      </w:r>
      <w:r w:rsidRPr="003F09BB">
        <w:rPr>
          <w:rFonts w:asciiTheme="minorHAnsi" w:hAnsiTheme="minorHAnsi"/>
          <w:b/>
          <w:bCs/>
          <w:sz w:val="22"/>
        </w:rPr>
        <w:t xml:space="preserve">: </w:t>
      </w:r>
    </w:p>
    <w:p w14:paraId="4F58904A"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Grunnprinsipper for skadeforsikring</w:t>
      </w:r>
    </w:p>
    <w:p w14:paraId="13A44392"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Premiesetting</w:t>
      </w:r>
    </w:p>
    <w:p w14:paraId="1FC105F7"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Forsikringsøkonomi</w:t>
      </w:r>
    </w:p>
    <w:p w14:paraId="4B0EAAF9"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Forsikringsmarkedet innenfor skadeforsikring – trender-/utvikling i markedet, herunder ny, bruk av kunstig intelligens og robotløsninger mv.</w:t>
      </w:r>
    </w:p>
    <w:p w14:paraId="0CC1EEEC"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 xml:space="preserve">Økonomi og finans: Betydningen av utviklingen i markedet og endret behov hos kundene som følge av dette. </w:t>
      </w:r>
    </w:p>
    <w:p w14:paraId="06F78CC2"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Skadeforebygging og bærekraft</w:t>
      </w:r>
    </w:p>
    <w:p w14:paraId="61DFAAB8"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Relevante regelverk for fagområdet (spesialregler)</w:t>
      </w:r>
    </w:p>
    <w:p w14:paraId="5CA5302E"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Relevante bransjestandarder (og endringer i disse)</w:t>
      </w:r>
    </w:p>
    <w:p w14:paraId="48363EA9"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Håndtering av forsikringskrav og skadeoppgjør</w:t>
      </w:r>
    </w:p>
    <w:p w14:paraId="640EAD16"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Klagehåndtering og utenrettslige klageordninger</w:t>
      </w:r>
    </w:p>
    <w:p w14:paraId="22132113"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Gjenkjenning og håndtering av svindel o.l.</w:t>
      </w:r>
    </w:p>
    <w:p w14:paraId="52E8A7F3"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Retningslinjer og rutiner i det enkelte foretak - endringer</w:t>
      </w:r>
    </w:p>
    <w:p w14:paraId="427FEB25" w14:textId="77777777" w:rsidR="003F09BB" w:rsidRPr="003F09BB" w:rsidRDefault="003F09BB" w:rsidP="003F09BB">
      <w:pPr>
        <w:ind w:left="360"/>
        <w:rPr>
          <w:rFonts w:asciiTheme="minorHAnsi" w:hAnsiTheme="minorHAnsi"/>
          <w:sz w:val="22"/>
        </w:rPr>
      </w:pPr>
    </w:p>
    <w:p w14:paraId="406CCA6D"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t>Tema 2: Personforsikring/livsforsikringer utenom pensjon</w:t>
      </w:r>
    </w:p>
    <w:p w14:paraId="289E853A" w14:textId="77777777" w:rsidR="003F09BB" w:rsidRPr="003F09BB" w:rsidRDefault="003F09BB" w:rsidP="003F09BB">
      <w:pPr>
        <w:rPr>
          <w:rFonts w:asciiTheme="minorHAnsi" w:hAnsiTheme="minorHAnsi"/>
          <w:b/>
          <w:bCs/>
          <w:sz w:val="22"/>
        </w:rPr>
      </w:pPr>
      <w:r w:rsidRPr="003F09BB">
        <w:rPr>
          <w:rFonts w:asciiTheme="minorHAnsi" w:hAnsiTheme="minorHAnsi"/>
          <w:sz w:val="22"/>
        </w:rPr>
        <w:t>Innhold</w:t>
      </w:r>
      <w:r w:rsidRPr="003F09BB">
        <w:rPr>
          <w:rFonts w:asciiTheme="minorHAnsi" w:hAnsiTheme="minorHAnsi"/>
          <w:b/>
          <w:bCs/>
          <w:sz w:val="22"/>
        </w:rPr>
        <w:t xml:space="preserve">: </w:t>
      </w:r>
    </w:p>
    <w:p w14:paraId="6469BC70"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Grunnprinsipper for personforsikring</w:t>
      </w:r>
    </w:p>
    <w:p w14:paraId="476F01A2"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Premiesetting</w:t>
      </w:r>
    </w:p>
    <w:p w14:paraId="089E81BE"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Forsikringsøkonomi</w:t>
      </w:r>
    </w:p>
    <w:p w14:paraId="43E3F9FD"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 xml:space="preserve">Forsikringsmarkedet person/livsforsikringer utenom pensjon – trender-/utvikling i markedet, herunder bransjestatistikk og analyse av disse, demografisk utvikling osv. </w:t>
      </w:r>
    </w:p>
    <w:p w14:paraId="1BFA3FF2"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Skillet i individuelle produkter, gruppeforsikringer og kollektive forsikringer, og betydningen av dette</w:t>
      </w:r>
    </w:p>
    <w:p w14:paraId="6A73E301"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Økonomi og finans: Betydningen av utviklingen i markedet og endret behov hos kundene som følge av dette.</w:t>
      </w:r>
    </w:p>
    <w:p w14:paraId="7AD89120"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Relevante regelverk for fagområdet (spesialregler)</w:t>
      </w:r>
    </w:p>
    <w:p w14:paraId="61446AD0"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Relevante bransjestandarder (og endringer i disse)</w:t>
      </w:r>
    </w:p>
    <w:p w14:paraId="18C2A6E0"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Håndtering av forsikringskrav og oppgjør</w:t>
      </w:r>
    </w:p>
    <w:p w14:paraId="7E8895C5"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Klagehåndtering og utenrettslige klageordninger</w:t>
      </w:r>
    </w:p>
    <w:p w14:paraId="58E6A1D2"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Alternative produkter innenfor bransjen</w:t>
      </w:r>
    </w:p>
    <w:p w14:paraId="22DAEDDA"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Retningslinjer og rutiner i det enkelte foretak – endringer</w:t>
      </w:r>
    </w:p>
    <w:p w14:paraId="43E381A3"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Gjenkjenning og håndtering av svindel o.l.</w:t>
      </w:r>
    </w:p>
    <w:p w14:paraId="09F121F6" w14:textId="77777777" w:rsidR="003F09BB" w:rsidRPr="003F09BB" w:rsidRDefault="003F09BB" w:rsidP="003F09BB">
      <w:pPr>
        <w:numPr>
          <w:ilvl w:val="0"/>
          <w:numId w:val="5"/>
        </w:numPr>
        <w:contextualSpacing/>
        <w:rPr>
          <w:rFonts w:asciiTheme="minorHAnsi" w:hAnsiTheme="minorHAnsi"/>
          <w:sz w:val="22"/>
        </w:rPr>
      </w:pPr>
    </w:p>
    <w:p w14:paraId="02B08262" w14:textId="77777777" w:rsidR="003F09BB" w:rsidRPr="003F09BB" w:rsidRDefault="003F09BB" w:rsidP="003F09BB">
      <w:pPr>
        <w:ind w:left="720"/>
        <w:contextualSpacing/>
        <w:rPr>
          <w:rFonts w:asciiTheme="minorHAnsi" w:hAnsiTheme="minorHAnsi"/>
          <w:sz w:val="22"/>
        </w:rPr>
      </w:pPr>
    </w:p>
    <w:p w14:paraId="48869CED" w14:textId="77777777" w:rsidR="003F09BB" w:rsidRPr="003F09BB" w:rsidRDefault="003F09BB" w:rsidP="003F09BB">
      <w:pPr>
        <w:rPr>
          <w:rFonts w:asciiTheme="minorHAnsi" w:hAnsiTheme="minorHAnsi"/>
          <w:b/>
          <w:bCs/>
          <w:sz w:val="22"/>
        </w:rPr>
      </w:pPr>
      <w:r w:rsidRPr="003F09BB">
        <w:rPr>
          <w:rFonts w:asciiTheme="minorHAnsi" w:hAnsiTheme="minorHAnsi"/>
          <w:b/>
          <w:bCs/>
          <w:sz w:val="22"/>
        </w:rPr>
        <w:lastRenderedPageBreak/>
        <w:t>Tema 3: Pensjons-/sparing- og investeringsprodukter</w:t>
      </w:r>
    </w:p>
    <w:p w14:paraId="6F3F1A32" w14:textId="77777777" w:rsidR="003F09BB" w:rsidRPr="003F09BB" w:rsidRDefault="003F09BB" w:rsidP="003F09BB">
      <w:pPr>
        <w:rPr>
          <w:rFonts w:asciiTheme="minorHAnsi" w:hAnsiTheme="minorHAnsi"/>
          <w:b/>
          <w:bCs/>
          <w:sz w:val="22"/>
        </w:rPr>
      </w:pPr>
      <w:r w:rsidRPr="003F09BB">
        <w:rPr>
          <w:rFonts w:asciiTheme="minorHAnsi" w:hAnsiTheme="minorHAnsi"/>
          <w:sz w:val="22"/>
        </w:rPr>
        <w:t>Innhold</w:t>
      </w:r>
      <w:r w:rsidRPr="003F09BB">
        <w:rPr>
          <w:rFonts w:asciiTheme="minorHAnsi" w:hAnsiTheme="minorHAnsi"/>
          <w:b/>
          <w:bCs/>
          <w:sz w:val="22"/>
        </w:rPr>
        <w:t xml:space="preserve">: </w:t>
      </w:r>
    </w:p>
    <w:p w14:paraId="62DCE8CC"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Grunnprinsipper for pensjons-/spareprodukter</w:t>
      </w:r>
    </w:p>
    <w:p w14:paraId="4FDBC508"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Hovedtrekk i premie- og kostnadsfastsettelse</w:t>
      </w:r>
    </w:p>
    <w:p w14:paraId="3D22A577"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Forsikringsmarkedet pensjon-, sparing og investeringsprodukter – trender-/utvikling i markedet</w:t>
      </w:r>
    </w:p>
    <w:p w14:paraId="75328CBC"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Skillet i individuelle produkter og kollektive forsikringer, og betydningen av dette</w:t>
      </w:r>
    </w:p>
    <w:p w14:paraId="2F4E0594"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Kravet til personlig anbefaling for forsikringsbaserte investeringsprodukter</w:t>
      </w:r>
    </w:p>
    <w:p w14:paraId="5F38CD37"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Økonomi og finans: Betydningen av utviklingen i markedet og endret behov hos kundene som følge av dette. Relevante skatteregler.</w:t>
      </w:r>
    </w:p>
    <w:p w14:paraId="212597A4"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 xml:space="preserve">Relevante regelverk for fagområdet (spesialregler) </w:t>
      </w:r>
    </w:p>
    <w:p w14:paraId="3A372E31"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Egenskapene til de ulike produktene</w:t>
      </w:r>
    </w:p>
    <w:p w14:paraId="71F3EFCE"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 xml:space="preserve">Fordeler og ulemper for kundene ved forskjellige investeringsvalg – herunder betydningen av kundens </w:t>
      </w:r>
      <w:proofErr w:type="spellStart"/>
      <w:r w:rsidRPr="003F09BB">
        <w:rPr>
          <w:rFonts w:asciiTheme="minorHAnsi" w:hAnsiTheme="minorHAnsi"/>
          <w:sz w:val="22"/>
        </w:rPr>
        <w:t>bærekraftspreferanse</w:t>
      </w:r>
      <w:proofErr w:type="spellEnd"/>
    </w:p>
    <w:p w14:paraId="3643A228"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Relevante bransjestandarder (og endringer i disse)</w:t>
      </w:r>
    </w:p>
    <w:p w14:paraId="5BB096CC"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Klagehåndtering og utenrettslige klageordninger</w:t>
      </w:r>
    </w:p>
    <w:p w14:paraId="2095E7C7"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Retningslinjer og rutiner i det enkelte foretak - endringer</w:t>
      </w:r>
    </w:p>
    <w:p w14:paraId="31E984B3" w14:textId="77777777" w:rsidR="003F09BB" w:rsidRPr="003F09BB" w:rsidRDefault="003F09BB" w:rsidP="003F09BB">
      <w:pPr>
        <w:rPr>
          <w:rFonts w:asciiTheme="minorHAnsi" w:hAnsiTheme="minorHAnsi"/>
          <w:sz w:val="22"/>
        </w:rPr>
      </w:pPr>
    </w:p>
    <w:p w14:paraId="6694A4D6" w14:textId="77777777" w:rsidR="003F09BB" w:rsidRPr="003F09BB" w:rsidRDefault="003F09BB" w:rsidP="003F09BB">
      <w:pPr>
        <w:rPr>
          <w:rFonts w:asciiTheme="minorHAnsi" w:hAnsiTheme="minorHAnsi"/>
          <w:sz w:val="22"/>
        </w:rPr>
      </w:pPr>
      <w:r w:rsidRPr="003F09BB">
        <w:rPr>
          <w:rFonts w:asciiTheme="minorHAnsi" w:hAnsiTheme="minorHAnsi"/>
          <w:sz w:val="22"/>
        </w:rPr>
        <w:t>Omfang tema 1 til 3:</w:t>
      </w:r>
    </w:p>
    <w:p w14:paraId="6F848F77" w14:textId="77777777" w:rsidR="003F09BB" w:rsidRPr="003F09BB" w:rsidRDefault="003F09BB" w:rsidP="003F09BB">
      <w:pPr>
        <w:rPr>
          <w:rFonts w:asciiTheme="minorHAnsi" w:hAnsiTheme="minorHAnsi"/>
          <w:i/>
          <w:iCs/>
          <w:sz w:val="22"/>
        </w:rPr>
      </w:pPr>
      <w:r w:rsidRPr="003F09BB">
        <w:rPr>
          <w:rFonts w:asciiTheme="minorHAnsi" w:hAnsiTheme="minorHAnsi"/>
          <w:i/>
          <w:iCs/>
          <w:sz w:val="22"/>
        </w:rPr>
        <w:t>Stort</w:t>
      </w:r>
    </w:p>
    <w:p w14:paraId="4B80AD62" w14:textId="77777777" w:rsidR="003F09BB" w:rsidRPr="003F09BB" w:rsidRDefault="003F09BB" w:rsidP="003F09BB">
      <w:pPr>
        <w:rPr>
          <w:rFonts w:asciiTheme="minorHAnsi" w:hAnsiTheme="minorHAnsi"/>
          <w:sz w:val="22"/>
        </w:rPr>
      </w:pPr>
    </w:p>
    <w:p w14:paraId="22886AD6" w14:textId="3177DF88" w:rsidR="003F09BB" w:rsidRPr="003F09BB" w:rsidRDefault="003F09BB" w:rsidP="003F09BB">
      <w:pPr>
        <w:tabs>
          <w:tab w:val="left" w:pos="567"/>
        </w:tabs>
        <w:rPr>
          <w:rFonts w:asciiTheme="minorHAnsi" w:hAnsiTheme="minorHAnsi"/>
          <w:b/>
          <w:bCs/>
          <w:sz w:val="22"/>
        </w:rPr>
      </w:pPr>
      <w:r>
        <w:rPr>
          <w:rFonts w:asciiTheme="minorHAnsi" w:hAnsiTheme="minorHAnsi"/>
          <w:b/>
          <w:bCs/>
          <w:sz w:val="22"/>
        </w:rPr>
        <w:t>3</w:t>
      </w:r>
      <w:r w:rsidRPr="003F09BB">
        <w:rPr>
          <w:rFonts w:asciiTheme="minorHAnsi" w:hAnsiTheme="minorHAnsi"/>
          <w:b/>
          <w:bCs/>
          <w:sz w:val="22"/>
        </w:rPr>
        <w:t>.3</w:t>
      </w:r>
      <w:r>
        <w:rPr>
          <w:rFonts w:asciiTheme="minorHAnsi" w:hAnsiTheme="minorHAnsi"/>
          <w:b/>
          <w:bCs/>
          <w:sz w:val="22"/>
        </w:rPr>
        <w:t xml:space="preserve"> </w:t>
      </w:r>
      <w:r w:rsidRPr="003F09BB">
        <w:rPr>
          <w:rFonts w:asciiTheme="minorHAnsi" w:hAnsiTheme="minorHAnsi"/>
          <w:b/>
          <w:bCs/>
          <w:sz w:val="22"/>
        </w:rPr>
        <w:t>Produktspesifikke- og stillingsspesifikke temaer</w:t>
      </w:r>
    </w:p>
    <w:p w14:paraId="66774C3C" w14:textId="77777777" w:rsidR="003F09BB" w:rsidRPr="003F09BB" w:rsidRDefault="003F09BB" w:rsidP="003F09BB">
      <w:pPr>
        <w:rPr>
          <w:rFonts w:asciiTheme="minorHAnsi" w:hAnsiTheme="minorHAnsi"/>
          <w:sz w:val="22"/>
        </w:rPr>
      </w:pPr>
      <w:r w:rsidRPr="003F09BB">
        <w:rPr>
          <w:rFonts w:asciiTheme="minorHAnsi" w:hAnsiTheme="minorHAnsi"/>
          <w:sz w:val="22"/>
        </w:rPr>
        <w:t>Begrunnelse: Foretakene vil bl.a. ha ulik forretningsstrategi knyttet til de enkelte produktene og produktene vil kunne være spesialtilpasset. Videre vil kundene ha ulike informasjons- og veiledningsbehov knyttet til ulike produkter. I ulik grad vil produktene være underlagt spesiallovgivning. Videre vil det kunne være særlige kunnskapsmessige behov knyttet til ulike typer stillinger.</w:t>
      </w:r>
    </w:p>
    <w:p w14:paraId="09B4985B" w14:textId="77777777" w:rsidR="003F09BB" w:rsidRPr="003F09BB" w:rsidRDefault="003F09BB" w:rsidP="003F09BB">
      <w:pPr>
        <w:rPr>
          <w:rFonts w:asciiTheme="minorHAnsi" w:hAnsiTheme="minorHAnsi"/>
          <w:sz w:val="22"/>
        </w:rPr>
      </w:pPr>
    </w:p>
    <w:p w14:paraId="70458684" w14:textId="77777777" w:rsidR="003F09BB" w:rsidRPr="003F09BB" w:rsidRDefault="003F09BB" w:rsidP="003F09BB">
      <w:pPr>
        <w:rPr>
          <w:rFonts w:asciiTheme="minorHAnsi" w:hAnsiTheme="minorHAnsi"/>
          <w:sz w:val="22"/>
        </w:rPr>
      </w:pPr>
      <w:r w:rsidRPr="003F09BB">
        <w:rPr>
          <w:rFonts w:asciiTheme="minorHAnsi" w:hAnsiTheme="minorHAnsi"/>
          <w:sz w:val="22"/>
        </w:rPr>
        <w:t>Innhold:</w:t>
      </w:r>
    </w:p>
    <w:p w14:paraId="36465D48"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Vilkår og betingelser som gjelder for forsikringen, herunder tilleggsrisikoer</w:t>
      </w:r>
    </w:p>
    <w:p w14:paraId="44755937"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Hvilke forhold det er relevant å avdekke om en kundes forsikringsbehov (kilder for informasjon - begrensninger i adgangen til å innhente opplysninger)</w:t>
      </w:r>
    </w:p>
    <w:p w14:paraId="64EC6673"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Alternative dekninger</w:t>
      </w:r>
    </w:p>
    <w:p w14:paraId="5C2330F4" w14:textId="77777777" w:rsidR="003F09BB" w:rsidRPr="003F09BB" w:rsidRDefault="003F09BB" w:rsidP="003F09BB">
      <w:pPr>
        <w:numPr>
          <w:ilvl w:val="0"/>
          <w:numId w:val="5"/>
        </w:numPr>
        <w:contextualSpacing/>
        <w:rPr>
          <w:rFonts w:asciiTheme="minorHAnsi" w:hAnsiTheme="minorHAnsi"/>
          <w:sz w:val="22"/>
        </w:rPr>
      </w:pPr>
      <w:r w:rsidRPr="003F09BB">
        <w:rPr>
          <w:rFonts w:asciiTheme="minorHAnsi" w:hAnsiTheme="minorHAnsi"/>
          <w:sz w:val="22"/>
        </w:rPr>
        <w:t>Særlige forhold ved pliktige forsikringer</w:t>
      </w:r>
    </w:p>
    <w:p w14:paraId="4D19DF0D" w14:textId="77777777" w:rsidR="003F09BB" w:rsidRPr="003F09BB" w:rsidRDefault="003F09BB" w:rsidP="003F09BB">
      <w:pPr>
        <w:ind w:left="720"/>
        <w:contextualSpacing/>
        <w:rPr>
          <w:rFonts w:asciiTheme="minorHAnsi" w:hAnsiTheme="minorHAnsi"/>
          <w:sz w:val="22"/>
        </w:rPr>
      </w:pPr>
    </w:p>
    <w:p w14:paraId="748ECA77" w14:textId="77777777" w:rsidR="003F09BB" w:rsidRPr="003F09BB" w:rsidRDefault="003F09BB" w:rsidP="003F09BB">
      <w:pPr>
        <w:rPr>
          <w:rFonts w:asciiTheme="minorHAnsi" w:hAnsiTheme="minorHAnsi"/>
          <w:b/>
          <w:bCs/>
          <w:sz w:val="22"/>
        </w:rPr>
      </w:pPr>
    </w:p>
    <w:p w14:paraId="24FA21C8" w14:textId="77777777" w:rsidR="003F09BB" w:rsidRPr="003F09BB" w:rsidRDefault="003F09BB" w:rsidP="003F09BB">
      <w:pPr>
        <w:rPr>
          <w:rFonts w:asciiTheme="minorHAnsi" w:hAnsiTheme="minorHAnsi"/>
          <w:sz w:val="22"/>
        </w:rPr>
      </w:pPr>
      <w:r w:rsidRPr="003F09BB">
        <w:rPr>
          <w:rFonts w:asciiTheme="minorHAnsi" w:hAnsiTheme="minorHAnsi"/>
          <w:sz w:val="22"/>
        </w:rPr>
        <w:t>Omfang del 4:</w:t>
      </w:r>
    </w:p>
    <w:p w14:paraId="2AEEB486" w14:textId="77777777" w:rsidR="003F09BB" w:rsidRPr="003F09BB" w:rsidRDefault="003F09BB" w:rsidP="003F09BB">
      <w:pPr>
        <w:rPr>
          <w:rFonts w:asciiTheme="minorHAnsi" w:hAnsiTheme="minorHAnsi"/>
          <w:i/>
          <w:iCs/>
          <w:sz w:val="22"/>
        </w:rPr>
      </w:pPr>
      <w:r w:rsidRPr="003F09BB">
        <w:rPr>
          <w:rFonts w:asciiTheme="minorHAnsi" w:hAnsiTheme="minorHAnsi"/>
          <w:i/>
          <w:iCs/>
          <w:sz w:val="22"/>
        </w:rPr>
        <w:t>Stort</w:t>
      </w:r>
    </w:p>
    <w:p w14:paraId="22903B5E" w14:textId="77777777" w:rsidR="003F09BB" w:rsidRPr="003F09BB" w:rsidRDefault="003F09BB" w:rsidP="003F09BB">
      <w:pPr>
        <w:rPr>
          <w:rFonts w:asciiTheme="minorHAnsi" w:hAnsiTheme="minorHAnsi"/>
          <w:b/>
          <w:bCs/>
          <w:sz w:val="22"/>
        </w:rPr>
      </w:pPr>
    </w:p>
    <w:p w14:paraId="124251F4" w14:textId="77777777" w:rsidR="003F09BB" w:rsidRPr="003F09BB" w:rsidRDefault="003F09BB" w:rsidP="003F09BB">
      <w:pPr>
        <w:rPr>
          <w:rFonts w:asciiTheme="minorHAnsi" w:hAnsiTheme="minorHAnsi"/>
          <w:b/>
          <w:bCs/>
          <w:sz w:val="22"/>
        </w:rPr>
      </w:pPr>
    </w:p>
    <w:p w14:paraId="60F92E6A" w14:textId="77777777" w:rsidR="00DA274F" w:rsidRPr="003F09BB" w:rsidRDefault="00DA274F" w:rsidP="003F09BB"/>
    <w:sectPr w:rsidR="00DA274F" w:rsidRPr="003F09BB" w:rsidSect="000150B7">
      <w:headerReference w:type="default" r:id="rId9"/>
      <w:footerReference w:type="default" r:id="rId10"/>
      <w:headerReference w:type="first" r:id="rId11"/>
      <w:footerReference w:type="first" r:id="rId12"/>
      <w:pgSz w:w="11907" w:h="16840" w:code="9"/>
      <w:pgMar w:top="2552" w:right="1191" w:bottom="1134" w:left="1559"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9540" w14:textId="77777777" w:rsidR="00994EFC" w:rsidRDefault="00994EFC">
      <w:r>
        <w:separator/>
      </w:r>
    </w:p>
  </w:endnote>
  <w:endnote w:type="continuationSeparator" w:id="0">
    <w:p w14:paraId="60370898" w14:textId="77777777" w:rsidR="00994EFC" w:rsidRDefault="0099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altName w:val="Calibri"/>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Merriweather Light">
    <w:charset w:val="00"/>
    <w:family w:val="auto"/>
    <w:pitch w:val="variable"/>
    <w:sig w:usb0="20000207" w:usb1="00000002" w:usb2="00000000" w:usb3="00000000" w:csb0="00000197"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erriweather-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D6B4" w14:textId="77777777" w:rsidR="00DA274F" w:rsidRPr="000150B7" w:rsidRDefault="00DA274F" w:rsidP="00DB76F7">
    <w:pPr>
      <w:pStyle w:val="Bunntekst"/>
      <w:rPr>
        <w:rFonts w:ascii="Merriweather Light" w:hAnsi="Merriweather Light"/>
        <w:sz w:val="16"/>
        <w:szCs w:val="16"/>
      </w:rPr>
    </w:pPr>
    <w:r w:rsidRPr="000150B7">
      <w:rPr>
        <w:rFonts w:ascii="Merriweather Light" w:hAnsi="Merriweather Light"/>
        <w:sz w:val="16"/>
        <w:szCs w:val="16"/>
      </w:rPr>
      <w:t xml:space="preserve">Side </w:t>
    </w:r>
    <w:r w:rsidRPr="000150B7">
      <w:rPr>
        <w:rFonts w:ascii="Merriweather Light" w:hAnsi="Merriweather Light"/>
        <w:sz w:val="16"/>
        <w:szCs w:val="16"/>
      </w:rPr>
      <w:fldChar w:fldCharType="begin"/>
    </w:r>
    <w:r w:rsidRPr="000150B7">
      <w:rPr>
        <w:rFonts w:ascii="Merriweather Light" w:hAnsi="Merriweather Light"/>
        <w:sz w:val="16"/>
        <w:szCs w:val="16"/>
      </w:rPr>
      <w:instrText xml:space="preserve"> PAGE </w:instrText>
    </w:r>
    <w:r w:rsidRPr="000150B7">
      <w:rPr>
        <w:rFonts w:ascii="Merriweather Light" w:hAnsi="Merriweather Light"/>
        <w:sz w:val="16"/>
        <w:szCs w:val="16"/>
      </w:rPr>
      <w:fldChar w:fldCharType="separate"/>
    </w:r>
    <w:r w:rsidRPr="000150B7">
      <w:rPr>
        <w:rFonts w:ascii="Merriweather Light" w:hAnsi="Merriweather Light"/>
        <w:sz w:val="16"/>
        <w:szCs w:val="16"/>
      </w:rPr>
      <w:t>2</w:t>
    </w:r>
    <w:r w:rsidRPr="000150B7">
      <w:rPr>
        <w:rFonts w:ascii="Merriweather Light" w:hAnsi="Merriweather Light"/>
        <w:sz w:val="16"/>
        <w:szCs w:val="16"/>
      </w:rPr>
      <w:fldChar w:fldCharType="end"/>
    </w:r>
    <w:r w:rsidRPr="000150B7">
      <w:rPr>
        <w:rFonts w:ascii="Merriweather Light" w:hAnsi="Merriweather Light"/>
        <w:sz w:val="16"/>
        <w:szCs w:val="16"/>
      </w:rPr>
      <w:t xml:space="preserve"> av </w:t>
    </w:r>
    <w:r w:rsidRPr="000150B7">
      <w:rPr>
        <w:rFonts w:ascii="Merriweather Light" w:hAnsi="Merriweather Light"/>
        <w:sz w:val="16"/>
        <w:szCs w:val="16"/>
      </w:rPr>
      <w:fldChar w:fldCharType="begin"/>
    </w:r>
    <w:r w:rsidRPr="000150B7">
      <w:rPr>
        <w:rFonts w:ascii="Merriweather Light" w:hAnsi="Merriweather Light"/>
        <w:sz w:val="16"/>
        <w:szCs w:val="16"/>
      </w:rPr>
      <w:instrText xml:space="preserve"> NUMPAGES </w:instrText>
    </w:r>
    <w:r w:rsidRPr="000150B7">
      <w:rPr>
        <w:rFonts w:ascii="Merriweather Light" w:hAnsi="Merriweather Light"/>
        <w:sz w:val="16"/>
        <w:szCs w:val="16"/>
      </w:rPr>
      <w:fldChar w:fldCharType="separate"/>
    </w:r>
    <w:r w:rsidRPr="000150B7">
      <w:rPr>
        <w:rFonts w:ascii="Merriweather Light" w:hAnsi="Merriweather Light"/>
        <w:sz w:val="16"/>
        <w:szCs w:val="16"/>
      </w:rPr>
      <w:t>2</w:t>
    </w:r>
    <w:r w:rsidRPr="000150B7">
      <w:rPr>
        <w:rFonts w:ascii="Merriweather Light" w:hAnsi="Merriweather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AF60" w14:textId="77777777" w:rsidR="00DA274F" w:rsidRPr="000150B7" w:rsidRDefault="00DA274F" w:rsidP="003F0D4E">
    <w:pPr>
      <w:pStyle w:val="Bunntekst"/>
      <w:rPr>
        <w:rFonts w:ascii="Merriweather Light" w:hAnsi="Merriweather Light"/>
        <w:sz w:val="16"/>
        <w:szCs w:val="16"/>
      </w:rPr>
    </w:pPr>
    <w:r w:rsidRPr="00D0757C">
      <w:rPr>
        <w:rFonts w:ascii="Merriweather Light" w:hAnsi="Merriweather Light"/>
        <w:sz w:val="16"/>
        <w:szCs w:val="16"/>
      </w:rPr>
      <mc:AlternateContent>
        <mc:Choice Requires="wps">
          <w:drawing>
            <wp:anchor distT="45720" distB="45720" distL="114300" distR="114300" simplePos="0" relativeHeight="251667968" behindDoc="1" locked="0" layoutInCell="1" allowOverlap="1" wp14:anchorId="1B4C32C1" wp14:editId="5543DE91">
              <wp:simplePos x="0" y="0"/>
              <wp:positionH relativeFrom="column">
                <wp:posOffset>-166052</wp:posOffset>
              </wp:positionH>
              <wp:positionV relativeFrom="page">
                <wp:posOffset>9882188</wp:posOffset>
              </wp:positionV>
              <wp:extent cx="6614795" cy="42608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426085"/>
                      </a:xfrm>
                      <a:prstGeom prst="rect">
                        <a:avLst/>
                      </a:prstGeom>
                      <a:solidFill>
                        <a:srgbClr val="FFFFFF"/>
                      </a:solidFill>
                      <a:ln w="9525">
                        <a:noFill/>
                        <a:miter lim="800000"/>
                        <a:headEnd/>
                        <a:tailEnd/>
                      </a:ln>
                    </wps:spPr>
                    <wps:txbx>
                      <w:txbxContent>
                        <w:p w14:paraId="27BE5351" w14:textId="77777777" w:rsidR="00DA274F" w:rsidRDefault="00DA274F">
                          <w:r>
                            <w:rPr>
                              <w:rFonts w:ascii="Merriweather-Regular" w:hAnsi="Merriweather-Regular" w:cs="Merriweather-Regular"/>
                              <w:color w:val="1E1E1C"/>
                              <w:sz w:val="14"/>
                              <w:szCs w:val="14"/>
                              <w:lang w:eastAsia="nb-NO"/>
                            </w:rPr>
                            <w:t xml:space="preserve">Hansteens gt. </w:t>
                          </w:r>
                          <w:proofErr w:type="gramStart"/>
                          <w:r>
                            <w:rPr>
                              <w:rFonts w:ascii="Merriweather-Regular" w:hAnsi="Merriweather-Regular" w:cs="Merriweather-Regular"/>
                              <w:color w:val="1E1E1C"/>
                              <w:sz w:val="14"/>
                              <w:szCs w:val="14"/>
                              <w:lang w:eastAsia="nb-NO"/>
                            </w:rPr>
                            <w:t xml:space="preserve">2  </w:t>
                          </w:r>
                          <w:r w:rsidRPr="00B622CA">
                            <w:rPr>
                              <w:rFonts w:ascii="Merriweather-Regular" w:hAnsi="Merriweather-Regular" w:cs="Merriweather-Regular"/>
                              <w:color w:val="00B0C1"/>
                              <w:sz w:val="48"/>
                              <w:szCs w:val="48"/>
                              <w:vertAlign w:val="subscript"/>
                              <w:lang w:eastAsia="nb-NO"/>
                            </w:rPr>
                            <w:t>•</w:t>
                          </w:r>
                          <w:proofErr w:type="gramEnd"/>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 xml:space="preserve">Telefon 23 28 42 00 </w:t>
                          </w:r>
                          <w:r w:rsidRPr="00B622CA">
                            <w:rPr>
                              <w:rFonts w:ascii="Merriweather-Regular" w:hAnsi="Merriweather-Regular" w:cs="Merriweather-Regular"/>
                              <w:color w:val="00B0C1"/>
                              <w:sz w:val="48"/>
                              <w:szCs w:val="48"/>
                              <w:vertAlign w:val="subscript"/>
                              <w:lang w:eastAsia="nb-NO"/>
                            </w:rPr>
                            <w:t>•</w:t>
                          </w:r>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 xml:space="preserve">firmapost@finansnorge.no </w:t>
                          </w:r>
                          <w:r w:rsidRPr="00B622CA">
                            <w:rPr>
                              <w:rFonts w:ascii="Merriweather-Regular" w:hAnsi="Merriweather-Regular" w:cs="Merriweather-Regular"/>
                              <w:color w:val="00B0C1"/>
                              <w:sz w:val="48"/>
                              <w:szCs w:val="48"/>
                              <w:vertAlign w:val="subscript"/>
                              <w:lang w:eastAsia="nb-NO"/>
                            </w:rPr>
                            <w:t>•</w:t>
                          </w:r>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 xml:space="preserve">PB 2473, 0202 Oslo </w:t>
                          </w:r>
                          <w:r w:rsidRPr="00B622CA">
                            <w:rPr>
                              <w:rFonts w:ascii="Merriweather-Regular" w:hAnsi="Merriweather-Regular" w:cs="Merriweather-Regular"/>
                              <w:color w:val="00B0C1"/>
                              <w:sz w:val="48"/>
                              <w:szCs w:val="48"/>
                              <w:vertAlign w:val="subscript"/>
                              <w:lang w:eastAsia="nb-NO"/>
                            </w:rPr>
                            <w:t>•</w:t>
                          </w:r>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 xml:space="preserve">Org.nr. 994 970 925 </w:t>
                          </w:r>
                          <w:r w:rsidRPr="00B622CA">
                            <w:rPr>
                              <w:rFonts w:ascii="Merriweather-Regular" w:hAnsi="Merriweather-Regular" w:cs="Merriweather-Regular"/>
                              <w:color w:val="00B0C1"/>
                              <w:sz w:val="48"/>
                              <w:szCs w:val="48"/>
                              <w:vertAlign w:val="subscript"/>
                              <w:lang w:eastAsia="nb-NO"/>
                            </w:rPr>
                            <w:t>•</w:t>
                          </w:r>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finansnorge.no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C32C1" id="_x0000_t202" coordsize="21600,21600" o:spt="202" path="m,l,21600r21600,l21600,xe">
              <v:stroke joinstyle="miter"/>
              <v:path gradientshapeok="t" o:connecttype="rect"/>
            </v:shapetype>
            <v:shape id="Tekstboks 2" o:spid="_x0000_s1026" type="#_x0000_t202" style="position:absolute;left:0;text-align:left;margin-left:-13.05pt;margin-top:778.15pt;width:520.85pt;height:33.5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" stroked="f">
              <v:textbox>
                <w:txbxContent>
                  <w:p w14:paraId="27BE5351" w14:textId="77777777" w:rsidR="00DA274F" w:rsidRDefault="00DA274F">
                    <w:r>
                      <w:rPr>
                        <w:rFonts w:ascii="Merriweather-Regular" w:hAnsi="Merriweather-Regular" w:cs="Merriweather-Regular"/>
                        <w:color w:val="1E1E1C"/>
                        <w:sz w:val="14"/>
                        <w:szCs w:val="14"/>
                        <w:lang w:eastAsia="nb-NO"/>
                      </w:rPr>
                      <w:t xml:space="preserve">Hansteens gt. </w:t>
                    </w:r>
                    <w:proofErr w:type="gramStart"/>
                    <w:r>
                      <w:rPr>
                        <w:rFonts w:ascii="Merriweather-Regular" w:hAnsi="Merriweather-Regular" w:cs="Merriweather-Regular"/>
                        <w:color w:val="1E1E1C"/>
                        <w:sz w:val="14"/>
                        <w:szCs w:val="14"/>
                        <w:lang w:eastAsia="nb-NO"/>
                      </w:rPr>
                      <w:t xml:space="preserve">2  </w:t>
                    </w:r>
                    <w:r w:rsidRPr="00B622CA">
                      <w:rPr>
                        <w:rFonts w:ascii="Merriweather-Regular" w:hAnsi="Merriweather-Regular" w:cs="Merriweather-Regular"/>
                        <w:color w:val="00B0C1"/>
                        <w:sz w:val="48"/>
                        <w:szCs w:val="48"/>
                        <w:vertAlign w:val="subscript"/>
                        <w:lang w:eastAsia="nb-NO"/>
                      </w:rPr>
                      <w:t>•</w:t>
                    </w:r>
                    <w:proofErr w:type="gramEnd"/>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 xml:space="preserve">Telefon 23 28 42 00 </w:t>
                    </w:r>
                    <w:r w:rsidRPr="00B622CA">
                      <w:rPr>
                        <w:rFonts w:ascii="Merriweather-Regular" w:hAnsi="Merriweather-Regular" w:cs="Merriweather-Regular"/>
                        <w:color w:val="00B0C1"/>
                        <w:sz w:val="48"/>
                        <w:szCs w:val="48"/>
                        <w:vertAlign w:val="subscript"/>
                        <w:lang w:eastAsia="nb-NO"/>
                      </w:rPr>
                      <w:t>•</w:t>
                    </w:r>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 xml:space="preserve">firmapost@finansnorge.no </w:t>
                    </w:r>
                    <w:r w:rsidRPr="00B622CA">
                      <w:rPr>
                        <w:rFonts w:ascii="Merriweather-Regular" w:hAnsi="Merriweather-Regular" w:cs="Merriweather-Regular"/>
                        <w:color w:val="00B0C1"/>
                        <w:sz w:val="48"/>
                        <w:szCs w:val="48"/>
                        <w:vertAlign w:val="subscript"/>
                        <w:lang w:eastAsia="nb-NO"/>
                      </w:rPr>
                      <w:t>•</w:t>
                    </w:r>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 xml:space="preserve">PB 2473, 0202 Oslo </w:t>
                    </w:r>
                    <w:r w:rsidRPr="00B622CA">
                      <w:rPr>
                        <w:rFonts w:ascii="Merriweather-Regular" w:hAnsi="Merriweather-Regular" w:cs="Merriweather-Regular"/>
                        <w:color w:val="00B0C1"/>
                        <w:sz w:val="48"/>
                        <w:szCs w:val="48"/>
                        <w:vertAlign w:val="subscript"/>
                        <w:lang w:eastAsia="nb-NO"/>
                      </w:rPr>
                      <w:t>•</w:t>
                    </w:r>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 xml:space="preserve">Org.nr. 994 970 925 </w:t>
                    </w:r>
                    <w:r w:rsidRPr="00B622CA">
                      <w:rPr>
                        <w:rFonts w:ascii="Merriweather-Regular" w:hAnsi="Merriweather-Regular" w:cs="Merriweather-Regular"/>
                        <w:color w:val="00B0C1"/>
                        <w:sz w:val="48"/>
                        <w:szCs w:val="48"/>
                        <w:vertAlign w:val="subscript"/>
                        <w:lang w:eastAsia="nb-NO"/>
                      </w:rPr>
                      <w:t>•</w:t>
                    </w:r>
                    <w:r>
                      <w:rPr>
                        <w:rFonts w:ascii="Merriweather-Regular" w:hAnsi="Merriweather-Regular" w:cs="Merriweather-Regular"/>
                        <w:color w:val="00B0C1"/>
                        <w:sz w:val="34"/>
                        <w:szCs w:val="34"/>
                        <w:lang w:eastAsia="nb-NO"/>
                      </w:rPr>
                      <w:t xml:space="preserve"> </w:t>
                    </w:r>
                    <w:r>
                      <w:rPr>
                        <w:rFonts w:ascii="Merriweather-Regular" w:hAnsi="Merriweather-Regular" w:cs="Merriweather-Regular"/>
                        <w:color w:val="1E1E1C"/>
                        <w:sz w:val="14"/>
                        <w:szCs w:val="14"/>
                        <w:lang w:eastAsia="nb-NO"/>
                      </w:rPr>
                      <w:t>finansnorge.no</w:t>
                    </w:r>
                  </w:p>
                </w:txbxContent>
              </v:textbox>
              <w10:wrap anchory="page"/>
            </v:shape>
          </w:pict>
        </mc:Fallback>
      </mc:AlternateContent>
    </w:r>
    <w:r w:rsidRPr="000150B7">
      <w:rPr>
        <w:rFonts w:ascii="Merriweather Light" w:hAnsi="Merriweather Light"/>
        <w:sz w:val="16"/>
        <w:szCs w:val="16"/>
      </w:rPr>
      <w:t xml:space="preserve">Side </w:t>
    </w:r>
    <w:r w:rsidRPr="000150B7">
      <w:rPr>
        <w:rFonts w:ascii="Merriweather Light" w:hAnsi="Merriweather Light"/>
        <w:sz w:val="16"/>
        <w:szCs w:val="16"/>
      </w:rPr>
      <w:fldChar w:fldCharType="begin"/>
    </w:r>
    <w:r w:rsidRPr="000150B7">
      <w:rPr>
        <w:rFonts w:ascii="Merriweather Light" w:hAnsi="Merriweather Light"/>
        <w:sz w:val="16"/>
        <w:szCs w:val="16"/>
      </w:rPr>
      <w:instrText xml:space="preserve"> PAGE </w:instrText>
    </w:r>
    <w:r w:rsidRPr="000150B7">
      <w:rPr>
        <w:rFonts w:ascii="Merriweather Light" w:hAnsi="Merriweather Light"/>
        <w:sz w:val="16"/>
        <w:szCs w:val="16"/>
      </w:rPr>
      <w:fldChar w:fldCharType="separate"/>
    </w:r>
    <w:r w:rsidRPr="000150B7">
      <w:rPr>
        <w:rFonts w:ascii="Merriweather Light" w:hAnsi="Merriweather Light"/>
        <w:sz w:val="16"/>
        <w:szCs w:val="16"/>
      </w:rPr>
      <w:t>1</w:t>
    </w:r>
    <w:r w:rsidRPr="000150B7">
      <w:rPr>
        <w:rFonts w:ascii="Merriweather Light" w:hAnsi="Merriweather Light"/>
        <w:sz w:val="16"/>
        <w:szCs w:val="16"/>
      </w:rPr>
      <w:fldChar w:fldCharType="end"/>
    </w:r>
    <w:r w:rsidRPr="000150B7">
      <w:rPr>
        <w:rFonts w:ascii="Merriweather Light" w:hAnsi="Merriweather Light"/>
        <w:sz w:val="16"/>
        <w:szCs w:val="16"/>
      </w:rPr>
      <w:t xml:space="preserve"> av </w:t>
    </w:r>
    <w:r w:rsidRPr="000150B7">
      <w:rPr>
        <w:rFonts w:ascii="Merriweather Light" w:hAnsi="Merriweather Light"/>
        <w:sz w:val="16"/>
        <w:szCs w:val="16"/>
      </w:rPr>
      <w:fldChar w:fldCharType="begin"/>
    </w:r>
    <w:r w:rsidRPr="000150B7">
      <w:rPr>
        <w:rFonts w:ascii="Merriweather Light" w:hAnsi="Merriweather Light"/>
        <w:sz w:val="16"/>
        <w:szCs w:val="16"/>
      </w:rPr>
      <w:instrText xml:space="preserve"> NUMPAGES </w:instrText>
    </w:r>
    <w:r w:rsidRPr="000150B7">
      <w:rPr>
        <w:rFonts w:ascii="Merriweather Light" w:hAnsi="Merriweather Light"/>
        <w:sz w:val="16"/>
        <w:szCs w:val="16"/>
      </w:rPr>
      <w:fldChar w:fldCharType="separate"/>
    </w:r>
    <w:r w:rsidRPr="000150B7">
      <w:rPr>
        <w:rFonts w:ascii="Merriweather Light" w:hAnsi="Merriweather Light"/>
        <w:sz w:val="16"/>
        <w:szCs w:val="16"/>
      </w:rPr>
      <w:t>1</w:t>
    </w:r>
    <w:r w:rsidRPr="000150B7">
      <w:rPr>
        <w:rFonts w:ascii="Merriweather Light" w:hAnsi="Merriweather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167C" w14:textId="77777777" w:rsidR="00994EFC" w:rsidRDefault="00994EFC">
      <w:r>
        <w:separator/>
      </w:r>
    </w:p>
  </w:footnote>
  <w:footnote w:type="continuationSeparator" w:id="0">
    <w:p w14:paraId="5D3F515C" w14:textId="77777777" w:rsidR="00994EFC" w:rsidRDefault="0099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9C64" w14:textId="77777777" w:rsidR="00DA274F" w:rsidRDefault="00DA274F">
    <w:pPr>
      <w:pStyle w:val="Topptekst"/>
    </w:pPr>
    <w:r>
      <w:rPr>
        <w:noProof/>
      </w:rPr>
      <w:drawing>
        <wp:anchor distT="0" distB="0" distL="114300" distR="114300" simplePos="0" relativeHeight="251665920" behindDoc="0" locked="1" layoutInCell="1" allowOverlap="1" wp14:anchorId="472D46BA" wp14:editId="2EFF1F52">
          <wp:simplePos x="0" y="0"/>
          <wp:positionH relativeFrom="page">
            <wp:posOffset>5508625</wp:posOffset>
          </wp:positionH>
          <wp:positionV relativeFrom="page">
            <wp:posOffset>756285</wp:posOffset>
          </wp:positionV>
          <wp:extent cx="1440000" cy="248400"/>
          <wp:effectExtent l="0" t="0" r="8255" b="0"/>
          <wp:wrapNone/>
          <wp:docPr id="2" name="Bilde 2"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nsNorge_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1440000" cy="24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9122" w14:textId="77777777" w:rsidR="00DA274F" w:rsidRDefault="00DA274F">
    <w:pPr>
      <w:pStyle w:val="Topptekst"/>
    </w:pPr>
    <w:r>
      <w:rPr>
        <w:noProof/>
      </w:rPr>
      <w:drawing>
        <wp:anchor distT="0" distB="0" distL="114300" distR="114300" simplePos="0" relativeHeight="251664896" behindDoc="0" locked="1" layoutInCell="1" allowOverlap="1" wp14:anchorId="0C6146C9" wp14:editId="0AE55721">
          <wp:simplePos x="0" y="0"/>
          <wp:positionH relativeFrom="page">
            <wp:posOffset>4788535</wp:posOffset>
          </wp:positionH>
          <wp:positionV relativeFrom="page">
            <wp:posOffset>720090</wp:posOffset>
          </wp:positionV>
          <wp:extent cx="2160000" cy="370800"/>
          <wp:effectExtent l="0" t="0" r="0" b="0"/>
          <wp:wrapNone/>
          <wp:docPr id="1" name="Bilde 1"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sNorge_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2160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603FC"/>
    <w:multiLevelType w:val="hybridMultilevel"/>
    <w:tmpl w:val="569057F8"/>
    <w:lvl w:ilvl="0" w:tplc="19006868">
      <w:start w:val="1"/>
      <w:numFmt w:val="decimal"/>
      <w:pStyle w:val="Nummerertliste"/>
      <w:lvlText w:val="%1."/>
      <w:lvlJc w:val="left"/>
      <w:pPr>
        <w:tabs>
          <w:tab w:val="num" w:pos="567"/>
        </w:tabs>
        <w:ind w:left="567" w:hanging="567"/>
      </w:pPr>
      <w:rPr>
        <w:rFonts w:hint="default"/>
      </w:rPr>
    </w:lvl>
    <w:lvl w:ilvl="1" w:tplc="EC982564">
      <w:numFmt w:val="none"/>
      <w:pStyle w:val="Nummerertlisteunderpunkt"/>
      <w:lvlText w:val=""/>
      <w:lvlJc w:val="left"/>
      <w:pPr>
        <w:tabs>
          <w:tab w:val="num" w:pos="360"/>
        </w:tabs>
      </w:pPr>
    </w:lvl>
    <w:lvl w:ilvl="2" w:tplc="FA1A7182">
      <w:numFmt w:val="none"/>
      <w:pStyle w:val="Nummerertlisteunderpunktdbl"/>
      <w:lvlText w:val=""/>
      <w:lvlJc w:val="left"/>
      <w:pPr>
        <w:tabs>
          <w:tab w:val="num" w:pos="360"/>
        </w:tabs>
      </w:pPr>
    </w:lvl>
    <w:lvl w:ilvl="3" w:tplc="F432CA80">
      <w:numFmt w:val="none"/>
      <w:lvlText w:val=""/>
      <w:lvlJc w:val="left"/>
      <w:pPr>
        <w:tabs>
          <w:tab w:val="num" w:pos="360"/>
        </w:tabs>
      </w:pPr>
    </w:lvl>
    <w:lvl w:ilvl="4" w:tplc="2ABE161E">
      <w:numFmt w:val="none"/>
      <w:lvlText w:val=""/>
      <w:lvlJc w:val="left"/>
      <w:pPr>
        <w:tabs>
          <w:tab w:val="num" w:pos="360"/>
        </w:tabs>
      </w:pPr>
    </w:lvl>
    <w:lvl w:ilvl="5" w:tplc="D7429B70">
      <w:numFmt w:val="none"/>
      <w:lvlText w:val=""/>
      <w:lvlJc w:val="left"/>
      <w:pPr>
        <w:tabs>
          <w:tab w:val="num" w:pos="360"/>
        </w:tabs>
      </w:pPr>
    </w:lvl>
    <w:lvl w:ilvl="6" w:tplc="AB10263C">
      <w:numFmt w:val="none"/>
      <w:lvlText w:val=""/>
      <w:lvlJc w:val="left"/>
      <w:pPr>
        <w:tabs>
          <w:tab w:val="num" w:pos="360"/>
        </w:tabs>
      </w:pPr>
    </w:lvl>
    <w:lvl w:ilvl="7" w:tplc="2B5E02D4">
      <w:numFmt w:val="none"/>
      <w:lvlText w:val=""/>
      <w:lvlJc w:val="left"/>
      <w:pPr>
        <w:tabs>
          <w:tab w:val="num" w:pos="360"/>
        </w:tabs>
      </w:pPr>
    </w:lvl>
    <w:lvl w:ilvl="8" w:tplc="C83C4F44">
      <w:numFmt w:val="none"/>
      <w:lvlText w:val=""/>
      <w:lvlJc w:val="left"/>
      <w:pPr>
        <w:tabs>
          <w:tab w:val="num" w:pos="360"/>
        </w:tabs>
      </w:pPr>
    </w:lvl>
  </w:abstractNum>
  <w:abstractNum w:abstractNumId="1" w15:restartNumberingAfterBreak="0">
    <w:nsid w:val="2B4A6DAB"/>
    <w:multiLevelType w:val="hybridMultilevel"/>
    <w:tmpl w:val="8A3CA31C"/>
    <w:lvl w:ilvl="0" w:tplc="E7C4FDF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D6E66"/>
    <w:multiLevelType w:val="multilevel"/>
    <w:tmpl w:val="9640AFD8"/>
    <w:lvl w:ilvl="0">
      <w:start w:val="1"/>
      <w:numFmt w:val="decimal"/>
      <w:pStyle w:val="Normalpktmarg"/>
      <w:suff w:val="space"/>
      <w:lvlText w:val="%1."/>
      <w:lvlJc w:val="left"/>
      <w:pPr>
        <w:ind w:left="0" w:hanging="1418"/>
      </w:pPr>
      <w:rPr>
        <w:rFonts w:hint="default"/>
      </w:rPr>
    </w:lvl>
    <w:lvl w:ilvl="1">
      <w:start w:val="1"/>
      <w:numFmt w:val="none"/>
      <w:lvlText w:val=""/>
      <w:lvlJc w:val="left"/>
      <w:pPr>
        <w:tabs>
          <w:tab w:val="num" w:pos="-626"/>
        </w:tabs>
        <w:ind w:left="0" w:firstLine="0"/>
      </w:pPr>
      <w:rPr>
        <w:rFonts w:hint="default"/>
      </w:rPr>
    </w:lvl>
    <w:lvl w:ilvl="2">
      <w:start w:val="1"/>
      <w:numFmt w:val="none"/>
      <w:lvlText w:val=""/>
      <w:lvlJc w:val="left"/>
      <w:pPr>
        <w:tabs>
          <w:tab w:val="num" w:pos="22"/>
        </w:tabs>
        <w:ind w:left="-194" w:hanging="504"/>
      </w:pPr>
      <w:rPr>
        <w:rFonts w:hint="default"/>
      </w:rPr>
    </w:lvl>
    <w:lvl w:ilvl="3">
      <w:start w:val="1"/>
      <w:numFmt w:val="none"/>
      <w:lvlText w:val=""/>
      <w:lvlJc w:val="left"/>
      <w:pPr>
        <w:tabs>
          <w:tab w:val="num" w:pos="382"/>
        </w:tabs>
        <w:ind w:left="310" w:hanging="648"/>
      </w:pPr>
      <w:rPr>
        <w:rFonts w:hint="default"/>
      </w:rPr>
    </w:lvl>
    <w:lvl w:ilvl="4">
      <w:start w:val="1"/>
      <w:numFmt w:val="none"/>
      <w:lvlText w:val=""/>
      <w:lvlJc w:val="left"/>
      <w:pPr>
        <w:tabs>
          <w:tab w:val="num" w:pos="1102"/>
        </w:tabs>
        <w:ind w:left="814" w:hanging="792"/>
      </w:pPr>
      <w:rPr>
        <w:rFonts w:hint="default"/>
      </w:rPr>
    </w:lvl>
    <w:lvl w:ilvl="5">
      <w:start w:val="1"/>
      <w:numFmt w:val="none"/>
      <w:lvlText w:val=""/>
      <w:lvlJc w:val="left"/>
      <w:pPr>
        <w:tabs>
          <w:tab w:val="num" w:pos="1462"/>
        </w:tabs>
        <w:ind w:left="1318" w:hanging="936"/>
      </w:pPr>
      <w:rPr>
        <w:rFonts w:hint="default"/>
      </w:rPr>
    </w:lvl>
    <w:lvl w:ilvl="6">
      <w:start w:val="1"/>
      <w:numFmt w:val="none"/>
      <w:lvlText w:val=""/>
      <w:lvlJc w:val="left"/>
      <w:pPr>
        <w:tabs>
          <w:tab w:val="num" w:pos="2182"/>
        </w:tabs>
        <w:ind w:left="1822" w:hanging="1080"/>
      </w:pPr>
      <w:rPr>
        <w:rFonts w:hint="default"/>
      </w:rPr>
    </w:lvl>
    <w:lvl w:ilvl="7">
      <w:start w:val="1"/>
      <w:numFmt w:val="none"/>
      <w:lvlText w:val=""/>
      <w:lvlJc w:val="left"/>
      <w:pPr>
        <w:tabs>
          <w:tab w:val="num" w:pos="2542"/>
        </w:tabs>
        <w:ind w:left="2326" w:hanging="1224"/>
      </w:pPr>
      <w:rPr>
        <w:rFonts w:hint="default"/>
      </w:rPr>
    </w:lvl>
    <w:lvl w:ilvl="8">
      <w:start w:val="1"/>
      <w:numFmt w:val="none"/>
      <w:lvlText w:val=""/>
      <w:lvlJc w:val="left"/>
      <w:pPr>
        <w:tabs>
          <w:tab w:val="num" w:pos="3262"/>
        </w:tabs>
        <w:ind w:left="2902" w:hanging="1440"/>
      </w:pPr>
      <w:rPr>
        <w:rFonts w:hint="default"/>
      </w:rPr>
    </w:lvl>
  </w:abstractNum>
  <w:abstractNum w:abstractNumId="3" w15:restartNumberingAfterBreak="0">
    <w:nsid w:val="3DA349B6"/>
    <w:multiLevelType w:val="multilevel"/>
    <w:tmpl w:val="F56CD32A"/>
    <w:lvl w:ilvl="0">
      <w:start w:val="1"/>
      <w:numFmt w:val="decimal"/>
      <w:lvlText w:val="%1"/>
      <w:lvlJc w:val="left"/>
      <w:pPr>
        <w:ind w:left="720" w:hanging="360"/>
      </w:pPr>
      <w:rPr>
        <w:rFonts w:ascii="Merriweather" w:eastAsia="Times New Roman" w:hAnsi="Merriweather" w:cs="Arial"/>
      </w:rPr>
    </w:lvl>
    <w:lvl w:ilvl="1">
      <w:start w:val="1"/>
      <w:numFmt w:val="decimal"/>
      <w:isLgl/>
      <w:lvlText w:val="%1.%2"/>
      <w:lvlJc w:val="left"/>
      <w:pPr>
        <w:ind w:left="1620" w:hanging="1620"/>
      </w:pPr>
      <w:rPr>
        <w:rFonts w:hint="default"/>
      </w:rPr>
    </w:lvl>
    <w:lvl w:ilvl="2">
      <w:start w:val="1"/>
      <w:numFmt w:val="decimal"/>
      <w:isLgl/>
      <w:lvlText w:val="%1.%2.%3"/>
      <w:lvlJc w:val="left"/>
      <w:pPr>
        <w:ind w:left="1980" w:hanging="1620"/>
      </w:pPr>
      <w:rPr>
        <w:rFonts w:hint="default"/>
      </w:rPr>
    </w:lvl>
    <w:lvl w:ilvl="3">
      <w:start w:val="1"/>
      <w:numFmt w:val="decimal"/>
      <w:isLgl/>
      <w:lvlText w:val="%1.%2.%3.%4"/>
      <w:lvlJc w:val="left"/>
      <w:pPr>
        <w:ind w:left="1980" w:hanging="1620"/>
      </w:pPr>
      <w:rPr>
        <w:rFonts w:hint="default"/>
      </w:rPr>
    </w:lvl>
    <w:lvl w:ilvl="4">
      <w:start w:val="1"/>
      <w:numFmt w:val="decimal"/>
      <w:isLgl/>
      <w:lvlText w:val="%1.%2.%3.%4.%5"/>
      <w:lvlJc w:val="left"/>
      <w:pPr>
        <w:ind w:left="1980" w:hanging="1620"/>
      </w:pPr>
      <w:rPr>
        <w:rFonts w:hint="default"/>
      </w:rPr>
    </w:lvl>
    <w:lvl w:ilvl="5">
      <w:start w:val="1"/>
      <w:numFmt w:val="decimal"/>
      <w:isLgl/>
      <w:lvlText w:val="%1.%2.%3.%4.%5.%6"/>
      <w:lvlJc w:val="left"/>
      <w:pPr>
        <w:ind w:left="1980" w:hanging="1620"/>
      </w:pPr>
      <w:rPr>
        <w:rFonts w:hint="default"/>
      </w:rPr>
    </w:lvl>
    <w:lvl w:ilvl="6">
      <w:start w:val="1"/>
      <w:numFmt w:val="decimal"/>
      <w:isLgl/>
      <w:lvlText w:val="%1.%2.%3.%4.%5.%6.%7"/>
      <w:lvlJc w:val="left"/>
      <w:pPr>
        <w:ind w:left="1980" w:hanging="1620"/>
      </w:pPr>
      <w:rPr>
        <w:rFonts w:hint="default"/>
      </w:rPr>
    </w:lvl>
    <w:lvl w:ilvl="7">
      <w:start w:val="1"/>
      <w:numFmt w:val="decimal"/>
      <w:isLgl/>
      <w:lvlText w:val="%1.%2.%3.%4.%5.%6.%7.%8"/>
      <w:lvlJc w:val="left"/>
      <w:pPr>
        <w:ind w:left="1980" w:hanging="1620"/>
      </w:pPr>
      <w:rPr>
        <w:rFonts w:hint="default"/>
      </w:rPr>
    </w:lvl>
    <w:lvl w:ilvl="8">
      <w:start w:val="1"/>
      <w:numFmt w:val="decimal"/>
      <w:isLgl/>
      <w:lvlText w:val="%1.%2.%3.%4.%5.%6.%7.%8.%9"/>
      <w:lvlJc w:val="left"/>
      <w:pPr>
        <w:ind w:left="1980" w:hanging="1620"/>
      </w:pPr>
      <w:rPr>
        <w:rFonts w:hint="default"/>
      </w:rPr>
    </w:lvl>
  </w:abstractNum>
  <w:abstractNum w:abstractNumId="4" w15:restartNumberingAfterBreak="0">
    <w:nsid w:val="4C4711F5"/>
    <w:multiLevelType w:val="multilevel"/>
    <w:tmpl w:val="55DAE7A8"/>
    <w:lvl w:ilvl="0">
      <w:start w:val="1"/>
      <w:numFmt w:val="decimal"/>
      <w:lvlText w:val="%1"/>
      <w:lvlJc w:val="left"/>
      <w:pPr>
        <w:ind w:left="360" w:hanging="360"/>
      </w:pPr>
      <w:rPr>
        <w:rFonts w:hint="default"/>
        <w:b/>
        <w:bCs/>
        <w:sz w:val="28"/>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F82A84"/>
    <w:multiLevelType w:val="hybridMultilevel"/>
    <w:tmpl w:val="90CC69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622"/>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67"/>
    <w:rsid w:val="00002E8B"/>
    <w:rsid w:val="000150B7"/>
    <w:rsid w:val="00015DAE"/>
    <w:rsid w:val="0002309F"/>
    <w:rsid w:val="000250E2"/>
    <w:rsid w:val="00032969"/>
    <w:rsid w:val="00037EBE"/>
    <w:rsid w:val="00045955"/>
    <w:rsid w:val="0007342A"/>
    <w:rsid w:val="000909A1"/>
    <w:rsid w:val="000966CC"/>
    <w:rsid w:val="00096EB1"/>
    <w:rsid w:val="000A131B"/>
    <w:rsid w:val="000A41D0"/>
    <w:rsid w:val="000C385D"/>
    <w:rsid w:val="000F0E33"/>
    <w:rsid w:val="000F1E5D"/>
    <w:rsid w:val="001005A0"/>
    <w:rsid w:val="00111CAF"/>
    <w:rsid w:val="00122790"/>
    <w:rsid w:val="00132BE3"/>
    <w:rsid w:val="001404D1"/>
    <w:rsid w:val="00162AE4"/>
    <w:rsid w:val="00173CB4"/>
    <w:rsid w:val="00174FDF"/>
    <w:rsid w:val="001B2F60"/>
    <w:rsid w:val="001D79F5"/>
    <w:rsid w:val="001E767C"/>
    <w:rsid w:val="001F10D8"/>
    <w:rsid w:val="001F38B1"/>
    <w:rsid w:val="00206E2B"/>
    <w:rsid w:val="002220B3"/>
    <w:rsid w:val="00235EB7"/>
    <w:rsid w:val="00245B26"/>
    <w:rsid w:val="00260949"/>
    <w:rsid w:val="00292D65"/>
    <w:rsid w:val="002A6717"/>
    <w:rsid w:val="002B6432"/>
    <w:rsid w:val="002C6106"/>
    <w:rsid w:val="002C6985"/>
    <w:rsid w:val="002C7C70"/>
    <w:rsid w:val="002D17AE"/>
    <w:rsid w:val="002D451C"/>
    <w:rsid w:val="002E7461"/>
    <w:rsid w:val="003235F9"/>
    <w:rsid w:val="00335F22"/>
    <w:rsid w:val="00337029"/>
    <w:rsid w:val="0035718F"/>
    <w:rsid w:val="003A5DFC"/>
    <w:rsid w:val="003D79A8"/>
    <w:rsid w:val="003E4278"/>
    <w:rsid w:val="003F09BB"/>
    <w:rsid w:val="003F0D4E"/>
    <w:rsid w:val="00401DBA"/>
    <w:rsid w:val="004035A2"/>
    <w:rsid w:val="004332AF"/>
    <w:rsid w:val="00436FF2"/>
    <w:rsid w:val="00460C58"/>
    <w:rsid w:val="00475326"/>
    <w:rsid w:val="00484CD7"/>
    <w:rsid w:val="00497FBB"/>
    <w:rsid w:val="004F4215"/>
    <w:rsid w:val="005143DA"/>
    <w:rsid w:val="00521121"/>
    <w:rsid w:val="00521CD6"/>
    <w:rsid w:val="00524A65"/>
    <w:rsid w:val="00526AE7"/>
    <w:rsid w:val="00535244"/>
    <w:rsid w:val="00555DA2"/>
    <w:rsid w:val="005577E2"/>
    <w:rsid w:val="00560A7A"/>
    <w:rsid w:val="0057528E"/>
    <w:rsid w:val="00575FA3"/>
    <w:rsid w:val="0058412D"/>
    <w:rsid w:val="00585A03"/>
    <w:rsid w:val="005B0713"/>
    <w:rsid w:val="005D216C"/>
    <w:rsid w:val="00602D0F"/>
    <w:rsid w:val="0061797C"/>
    <w:rsid w:val="00632399"/>
    <w:rsid w:val="00663C51"/>
    <w:rsid w:val="00677649"/>
    <w:rsid w:val="0068270E"/>
    <w:rsid w:val="0069143C"/>
    <w:rsid w:val="00696F77"/>
    <w:rsid w:val="006B5FE5"/>
    <w:rsid w:val="006D025B"/>
    <w:rsid w:val="0070370D"/>
    <w:rsid w:val="00706434"/>
    <w:rsid w:val="007161E1"/>
    <w:rsid w:val="0071757D"/>
    <w:rsid w:val="0072336A"/>
    <w:rsid w:val="00754046"/>
    <w:rsid w:val="00761D85"/>
    <w:rsid w:val="00780FB5"/>
    <w:rsid w:val="00783921"/>
    <w:rsid w:val="00791233"/>
    <w:rsid w:val="007A1177"/>
    <w:rsid w:val="007B082F"/>
    <w:rsid w:val="007B5C6A"/>
    <w:rsid w:val="007C0EE0"/>
    <w:rsid w:val="007C141B"/>
    <w:rsid w:val="007D59FD"/>
    <w:rsid w:val="00801B58"/>
    <w:rsid w:val="008448D9"/>
    <w:rsid w:val="00845E14"/>
    <w:rsid w:val="008509A9"/>
    <w:rsid w:val="00853C2F"/>
    <w:rsid w:val="00866C97"/>
    <w:rsid w:val="00870DE2"/>
    <w:rsid w:val="00883876"/>
    <w:rsid w:val="008A1B9C"/>
    <w:rsid w:val="008C0085"/>
    <w:rsid w:val="008E57BE"/>
    <w:rsid w:val="00915E1F"/>
    <w:rsid w:val="00923808"/>
    <w:rsid w:val="0094238A"/>
    <w:rsid w:val="0094434C"/>
    <w:rsid w:val="00961E25"/>
    <w:rsid w:val="00970060"/>
    <w:rsid w:val="00994EFC"/>
    <w:rsid w:val="009A70FD"/>
    <w:rsid w:val="009B4899"/>
    <w:rsid w:val="009B7137"/>
    <w:rsid w:val="009C42FF"/>
    <w:rsid w:val="009D72C9"/>
    <w:rsid w:val="009E4325"/>
    <w:rsid w:val="00A04AFE"/>
    <w:rsid w:val="00A20826"/>
    <w:rsid w:val="00A452BB"/>
    <w:rsid w:val="00A47264"/>
    <w:rsid w:val="00A478F7"/>
    <w:rsid w:val="00A54E33"/>
    <w:rsid w:val="00A604C5"/>
    <w:rsid w:val="00A6357A"/>
    <w:rsid w:val="00A63BE3"/>
    <w:rsid w:val="00A708CD"/>
    <w:rsid w:val="00A764EA"/>
    <w:rsid w:val="00AA71E7"/>
    <w:rsid w:val="00AC0D7A"/>
    <w:rsid w:val="00AC5EC7"/>
    <w:rsid w:val="00AD34AD"/>
    <w:rsid w:val="00AD3887"/>
    <w:rsid w:val="00AE6D23"/>
    <w:rsid w:val="00B17981"/>
    <w:rsid w:val="00B179B6"/>
    <w:rsid w:val="00B2389D"/>
    <w:rsid w:val="00B36A72"/>
    <w:rsid w:val="00B56806"/>
    <w:rsid w:val="00B60E6C"/>
    <w:rsid w:val="00B622CA"/>
    <w:rsid w:val="00B6746E"/>
    <w:rsid w:val="00B7198D"/>
    <w:rsid w:val="00B775AA"/>
    <w:rsid w:val="00B81A32"/>
    <w:rsid w:val="00B87BA3"/>
    <w:rsid w:val="00BC0399"/>
    <w:rsid w:val="00BE5CCE"/>
    <w:rsid w:val="00BF0192"/>
    <w:rsid w:val="00BF22B7"/>
    <w:rsid w:val="00BF4F90"/>
    <w:rsid w:val="00C054D6"/>
    <w:rsid w:val="00C22713"/>
    <w:rsid w:val="00C26D7D"/>
    <w:rsid w:val="00C2796E"/>
    <w:rsid w:val="00C60BC1"/>
    <w:rsid w:val="00C65E94"/>
    <w:rsid w:val="00C66272"/>
    <w:rsid w:val="00C66926"/>
    <w:rsid w:val="00C76054"/>
    <w:rsid w:val="00C92747"/>
    <w:rsid w:val="00CC3AD2"/>
    <w:rsid w:val="00CC5A2D"/>
    <w:rsid w:val="00CD2E35"/>
    <w:rsid w:val="00CD51C8"/>
    <w:rsid w:val="00CE2117"/>
    <w:rsid w:val="00CE3D33"/>
    <w:rsid w:val="00CF3E71"/>
    <w:rsid w:val="00D02521"/>
    <w:rsid w:val="00D0757C"/>
    <w:rsid w:val="00D11BC2"/>
    <w:rsid w:val="00D13820"/>
    <w:rsid w:val="00D162A8"/>
    <w:rsid w:val="00D228C7"/>
    <w:rsid w:val="00D23519"/>
    <w:rsid w:val="00D262CC"/>
    <w:rsid w:val="00D33337"/>
    <w:rsid w:val="00D33CE7"/>
    <w:rsid w:val="00D443F4"/>
    <w:rsid w:val="00D81CB9"/>
    <w:rsid w:val="00D838D5"/>
    <w:rsid w:val="00DA274F"/>
    <w:rsid w:val="00DB76F7"/>
    <w:rsid w:val="00DC2BEE"/>
    <w:rsid w:val="00DE23FD"/>
    <w:rsid w:val="00DE7E67"/>
    <w:rsid w:val="00DF14AB"/>
    <w:rsid w:val="00E14288"/>
    <w:rsid w:val="00E21917"/>
    <w:rsid w:val="00E51B87"/>
    <w:rsid w:val="00E6044A"/>
    <w:rsid w:val="00EA36F7"/>
    <w:rsid w:val="00EB455E"/>
    <w:rsid w:val="00ED4F35"/>
    <w:rsid w:val="00ED6AC4"/>
    <w:rsid w:val="00EF63E3"/>
    <w:rsid w:val="00F03803"/>
    <w:rsid w:val="00F25745"/>
    <w:rsid w:val="00F41B4F"/>
    <w:rsid w:val="00F4576D"/>
    <w:rsid w:val="00F47956"/>
    <w:rsid w:val="00F55E01"/>
    <w:rsid w:val="00F6358C"/>
    <w:rsid w:val="00F77697"/>
    <w:rsid w:val="00F94DA6"/>
    <w:rsid w:val="00FA15B6"/>
    <w:rsid w:val="00FB03CE"/>
    <w:rsid w:val="00FC4D3D"/>
    <w:rsid w:val="00FE7E9E"/>
    <w:rsid w:val="00FF0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A79A"/>
  <w15:docId w15:val="{417771F6-DE7D-4AB9-84B4-9A5B5321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B7"/>
    <w:pPr>
      <w:spacing w:line="248" w:lineRule="auto"/>
    </w:pPr>
    <w:rPr>
      <w:rFonts w:ascii="Merriweather Light" w:hAnsi="Merriweather Light"/>
      <w:sz w:val="18"/>
      <w:szCs w:val="24"/>
      <w:lang w:eastAsia="en-US"/>
    </w:rPr>
  </w:style>
  <w:style w:type="paragraph" w:styleId="Overskrift1">
    <w:name w:val="heading 1"/>
    <w:basedOn w:val="Normal"/>
    <w:next w:val="Normal"/>
    <w:qFormat/>
    <w:rsid w:val="00D0757C"/>
    <w:pPr>
      <w:keepNext/>
      <w:spacing w:after="260"/>
      <w:outlineLvl w:val="0"/>
    </w:pPr>
    <w:rPr>
      <w:rFonts w:ascii="Merriweather" w:hAnsi="Merriweather" w:cs="Arial"/>
      <w:b/>
      <w:bCs/>
      <w:kern w:val="26"/>
      <w:sz w:val="26"/>
      <w:szCs w:val="32"/>
    </w:rPr>
  </w:style>
  <w:style w:type="paragraph" w:styleId="Overskrift2">
    <w:name w:val="heading 2"/>
    <w:basedOn w:val="Normal"/>
    <w:next w:val="Normal"/>
    <w:qFormat/>
    <w:rsid w:val="00D162A8"/>
    <w:pPr>
      <w:keepNext/>
      <w:outlineLvl w:val="1"/>
    </w:pPr>
    <w:rPr>
      <w:rFonts w:cs="Arial"/>
      <w:b/>
      <w:bCs/>
      <w:iCs/>
      <w:szCs w:val="28"/>
    </w:rPr>
  </w:style>
  <w:style w:type="paragraph" w:styleId="Overskrift3">
    <w:name w:val="heading 3"/>
    <w:basedOn w:val="Normal"/>
    <w:next w:val="Normal"/>
    <w:qFormat/>
    <w:rsid w:val="00D162A8"/>
    <w:pPr>
      <w:keepNext/>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ummerertliste">
    <w:name w:val="Nummerert  liste"/>
    <w:basedOn w:val="Normal"/>
    <w:next w:val="Normal"/>
    <w:rsid w:val="00D162A8"/>
    <w:pPr>
      <w:numPr>
        <w:numId w:val="1"/>
      </w:numPr>
    </w:pPr>
    <w:rPr>
      <w:lang w:eastAsia="nb-NO"/>
    </w:rPr>
  </w:style>
  <w:style w:type="paragraph" w:customStyle="1" w:styleId="Nummerertlisteunderpunkt">
    <w:name w:val="Nummerert liste underpunkt"/>
    <w:basedOn w:val="Normal"/>
    <w:rsid w:val="00D162A8"/>
    <w:pPr>
      <w:numPr>
        <w:ilvl w:val="1"/>
        <w:numId w:val="1"/>
      </w:numPr>
      <w:tabs>
        <w:tab w:val="num" w:pos="567"/>
      </w:tabs>
      <w:ind w:left="567" w:hanging="567"/>
    </w:pPr>
    <w:rPr>
      <w:lang w:eastAsia="nb-NO"/>
    </w:rPr>
  </w:style>
  <w:style w:type="paragraph" w:customStyle="1" w:styleId="Nummerertlisteunderpunktdbl">
    <w:name w:val="Nummerert liste underpunkt dbl"/>
    <w:basedOn w:val="Nummerertlisteunderpunkt"/>
    <w:rsid w:val="00D162A8"/>
    <w:pPr>
      <w:numPr>
        <w:ilvl w:val="2"/>
      </w:numPr>
      <w:spacing w:line="247" w:lineRule="auto"/>
    </w:pPr>
  </w:style>
  <w:style w:type="paragraph" w:customStyle="1" w:styleId="Referansetekst">
    <w:name w:val="Referansetekst"/>
    <w:basedOn w:val="Normal"/>
    <w:rsid w:val="00A47264"/>
    <w:rPr>
      <w:sz w:val="16"/>
    </w:rPr>
  </w:style>
  <w:style w:type="paragraph" w:styleId="Topptekst">
    <w:name w:val="header"/>
    <w:basedOn w:val="Normal"/>
    <w:semiHidden/>
    <w:rsid w:val="00D162A8"/>
    <w:pPr>
      <w:tabs>
        <w:tab w:val="center" w:pos="4320"/>
        <w:tab w:val="right" w:pos="8640"/>
      </w:tabs>
      <w:jc w:val="right"/>
    </w:pPr>
    <w:rPr>
      <w:rFonts w:ascii="Arial" w:hAnsi="Arial"/>
    </w:rPr>
  </w:style>
  <w:style w:type="paragraph" w:styleId="Bunntekst">
    <w:name w:val="footer"/>
    <w:basedOn w:val="Normal"/>
    <w:semiHidden/>
    <w:rsid w:val="00D162A8"/>
    <w:pPr>
      <w:tabs>
        <w:tab w:val="center" w:pos="4320"/>
        <w:tab w:val="right" w:pos="8640"/>
      </w:tabs>
      <w:jc w:val="right"/>
    </w:pPr>
    <w:rPr>
      <w:rFonts w:ascii="Arial" w:hAnsi="Arial"/>
      <w:noProof/>
    </w:rPr>
  </w:style>
  <w:style w:type="table" w:styleId="Tabellrutenett">
    <w:name w:val="Table Grid"/>
    <w:basedOn w:val="Vanligtabell"/>
    <w:rsid w:val="00D162A8"/>
    <w:pPr>
      <w:spacing w:line="24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semiHidden/>
    <w:rsid w:val="00460C58"/>
  </w:style>
  <w:style w:type="paragraph" w:customStyle="1" w:styleId="Normalpktmarg">
    <w:name w:val="Normal: pkt.marg"/>
    <w:basedOn w:val="Normal"/>
    <w:next w:val="Normal"/>
    <w:rsid w:val="00D162A8"/>
    <w:pPr>
      <w:numPr>
        <w:numId w:val="2"/>
      </w:numPr>
      <w:tabs>
        <w:tab w:val="left" w:pos="0"/>
      </w:tabs>
    </w:pPr>
  </w:style>
  <w:style w:type="paragraph" w:styleId="Tittel">
    <w:name w:val="Title"/>
    <w:basedOn w:val="Overskrift1"/>
    <w:next w:val="Normal"/>
    <w:qFormat/>
    <w:rsid w:val="00FE7E9E"/>
    <w:pPr>
      <w:spacing w:before="600" w:line="247" w:lineRule="auto"/>
    </w:pPr>
    <w:rPr>
      <w:caps/>
    </w:rPr>
  </w:style>
  <w:style w:type="character" w:styleId="Plassholdertekst">
    <w:name w:val="Placeholder Text"/>
    <w:basedOn w:val="Standardskriftforavsnitt"/>
    <w:uiPriority w:val="99"/>
    <w:semiHidden/>
    <w:rsid w:val="0069143C"/>
    <w:rPr>
      <w:color w:val="808080"/>
    </w:rPr>
  </w:style>
  <w:style w:type="paragraph" w:styleId="Bobletekst">
    <w:name w:val="Balloon Text"/>
    <w:basedOn w:val="Normal"/>
    <w:link w:val="BobletekstTegn"/>
    <w:rsid w:val="00A47264"/>
    <w:pPr>
      <w:spacing w:line="240" w:lineRule="auto"/>
    </w:pPr>
    <w:rPr>
      <w:rFonts w:cs="Tahoma"/>
      <w:sz w:val="16"/>
      <w:szCs w:val="16"/>
    </w:rPr>
  </w:style>
  <w:style w:type="character" w:customStyle="1" w:styleId="BobletekstTegn">
    <w:name w:val="Bobletekst Tegn"/>
    <w:basedOn w:val="Standardskriftforavsnitt"/>
    <w:link w:val="Bobletekst"/>
    <w:rsid w:val="00A47264"/>
    <w:rPr>
      <w:rFonts w:ascii="Merriweather Light" w:hAnsi="Merriweather Light" w:cs="Tahoma"/>
      <w:sz w:val="16"/>
      <w:szCs w:val="16"/>
      <w:lang w:eastAsia="en-US"/>
    </w:rPr>
  </w:style>
  <w:style w:type="paragraph" w:customStyle="1" w:styleId="Ingress">
    <w:name w:val="Ingress"/>
    <w:basedOn w:val="Normal"/>
    <w:qFormat/>
    <w:rsid w:val="00A764EA"/>
    <w:pPr>
      <w:spacing w:line="240" w:lineRule="auto"/>
    </w:pPr>
    <w:rPr>
      <w:rFonts w:ascii="Open Sans" w:hAnsi="Open Sans"/>
    </w:rPr>
  </w:style>
  <w:style w:type="paragraph" w:customStyle="1" w:styleId="Mellomtittel">
    <w:name w:val="Mellomtittel"/>
    <w:basedOn w:val="Ingress"/>
    <w:qFormat/>
    <w:rsid w:val="00A764EA"/>
    <w:rPr>
      <w:b/>
    </w:rPr>
  </w:style>
  <w:style w:type="character" w:customStyle="1" w:styleId="refdata">
    <w:name w:val="ref data"/>
    <w:basedOn w:val="Standardskriftforavsnitt"/>
    <w:uiPriority w:val="1"/>
    <w:qFormat/>
    <w:rsid w:val="00FB03CE"/>
    <w:rPr>
      <w:rFonts w:ascii="Arial" w:hAnsi="Arial"/>
      <w:sz w:val="16"/>
    </w:rPr>
  </w:style>
  <w:style w:type="character" w:customStyle="1" w:styleId="Stil1">
    <w:name w:val="Stil1"/>
    <w:basedOn w:val="refdata"/>
    <w:uiPriority w:val="1"/>
    <w:rsid w:val="00FB03CE"/>
    <w:rPr>
      <w:rFonts w:ascii="Arial" w:hAnsi="Arial"/>
      <w:sz w:val="16"/>
    </w:rPr>
  </w:style>
  <w:style w:type="paragraph" w:customStyle="1" w:styleId="paragraph">
    <w:name w:val="paragraph"/>
    <w:basedOn w:val="Normal"/>
    <w:rsid w:val="00DA274F"/>
    <w:pPr>
      <w:spacing w:before="100" w:beforeAutospacing="1" w:after="100" w:afterAutospacing="1" w:line="240" w:lineRule="auto"/>
    </w:pPr>
    <w:rPr>
      <w:rFonts w:ascii="Times New Roman" w:hAnsi="Times New Roman"/>
      <w:sz w:val="24"/>
      <w:lang w:eastAsia="nb-NO"/>
    </w:rPr>
  </w:style>
  <w:style w:type="character" w:customStyle="1" w:styleId="eop">
    <w:name w:val="eop"/>
    <w:basedOn w:val="Standardskriftforavsnitt"/>
    <w:rsid w:val="00DA274F"/>
  </w:style>
  <w:style w:type="character" w:customStyle="1" w:styleId="normaltextrun">
    <w:name w:val="normaltextrun"/>
    <w:basedOn w:val="Standardskriftforavsnitt"/>
    <w:rsid w:val="00DA274F"/>
  </w:style>
  <w:style w:type="paragraph" w:styleId="Listeavsnitt">
    <w:name w:val="List Paragraph"/>
    <w:basedOn w:val="Normal"/>
    <w:uiPriority w:val="34"/>
    <w:qFormat/>
    <w:rsid w:val="003F0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48F61723F4F6B8327E51E95226136"/>
        <w:category>
          <w:name w:val="General"/>
          <w:gallery w:val="placeholder"/>
        </w:category>
        <w:types>
          <w:type w:val="bbPlcHdr"/>
        </w:types>
        <w:behaviors>
          <w:behavior w:val="content"/>
        </w:behaviors>
        <w:guid w:val="{228F521E-DADB-4705-8801-1F581FE5F5B0}"/>
      </w:docPartPr>
      <w:docPartBody>
        <w:p w:rsidR="00B350A1" w:rsidRDefault="00D441D0" w:rsidP="00D441D0">
          <w:pPr>
            <w:pStyle w:val="36348F61723F4F6B8327E51E95226136"/>
          </w:pPr>
          <w:r w:rsidRPr="00B6238E">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altName w:val="Calibri"/>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Merriweather Light">
    <w:charset w:val="00"/>
    <w:family w:val="auto"/>
    <w:pitch w:val="variable"/>
    <w:sig w:usb0="20000207" w:usb1="00000002" w:usb2="00000000" w:usb3="00000000" w:csb0="00000197"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erriweather-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D0"/>
    <w:rsid w:val="007E410D"/>
    <w:rsid w:val="00B350A1"/>
    <w:rsid w:val="00C07A56"/>
    <w:rsid w:val="00D441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441D0"/>
    <w:rPr>
      <w:color w:val="808080"/>
    </w:rPr>
  </w:style>
  <w:style w:type="paragraph" w:customStyle="1" w:styleId="36348F61723F4F6B8327E51E95226136">
    <w:name w:val="36348F61723F4F6B8327E51E95226136"/>
    <w:rsid w:val="00D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 gbs:entity="Document" gbs:templateDesignerVersion="3.1 F">
  <gbs:Lists>
    <gbs:SingleLines/>
  </gbs:Lists>
  <gbs:OurRef.Name gbs:loadFromGrowBusiness="OnProduce" gbs:saveInGrowBusiness="False" gbs:connected="true" gbs:recno="" gbs:entity="" gbs:datatype="string" gbs:key="1225474" gbs:removeContentControl="0"/>
  <gbs:Title gbs:loadFromGrowBusiness="OnProduce" gbs:saveInGrowBusiness="False" gbs:connected="true" gbs:recno="" gbs:entity="" gbs:datatype="string" gbs:key="1225477" gbs:removeContentControl="0">Utkast til etterutdanningsopplegg for forsikringsformidling i Finans Norge – for personer som ikke er autorisert i Finansnæringens Autorisasjonsordning</gbs:Title>
  <gbs:DocumentDate gbs:loadFromGrowBusiness="OnProduce" gbs:saveInGrowBusiness="False" gbs:connected="true" gbs:recno="" gbs:entity="" gbs:datatype="date" gbs:key="1225478"/>
  <gbs:ToCase.Name gbs:loadFromGrowBusiness="OnProduce" gbs:saveInGrowBusiness="False" gbs:connected="true" gbs:recno="" gbs:entity="" gbs:datatype="string" gbs:key="1225480"/>
  <gbs:ToActivityContactJOINEX.Name2 gbs:loadFromGrowBusiness="OnProduce" gbs:saveInGrowBusiness="False" gbs:connected="true" gbs:recno="" gbs:entity="" gbs:datatype="string" gbs:key="1225471" gbs:joinex="[JOINEX=[ToRole] {!OJEX!}=6]" gbs:removeContentControl="0"/>
  <gbs:ToActivityContactJOINEX.Name2 gbs:loadFromGrowBusiness="OnProduce" gbs:saveInGrowBusiness="False" gbs:connected="true" gbs:recno="" gbs:entity="" gbs:datatype="string" gbs:key="1225473" gbs:joinex="[JOINEX=[ToRole] {!OJEX!}=8]" gbs:removeContentControl="0"/>
  <gbs:DocumentDate gbs:loadFromGrowBusiness="OnProduce" gbs:saveInGrowBusiness="False" gbs:connected="true" gbs:recno="" gbs:entity="" gbs:datatype="date" gbs:key="1818111604"/>
  <gbs:ToCase.Name gbs:loadFromGrowBusiness="OnProduce" gbs:saveInGrowBusiness="False" gbs:connected="true" gbs:recno="" gbs:entity="" gbs:datatype="string" gbs:key="1818111612"/>
  <gbs:DocumentDate gbs:loadFromGrowBusiness="OnProduce" gbs:saveInGrowBusiness="False" gbs:connected="true" gbs:recno="" gbs:entity="" gbs:datatype="date" gbs:key="91438220"/>
</gbs:GrowBusinessDocument>
</file>

<file path=customXml/itemProps1.xml><?xml version="1.0" encoding="utf-8"?>
<ds:datastoreItem xmlns:ds="http://schemas.openxmlformats.org/officeDocument/2006/customXml" ds:itemID="{6CB3B639-B093-467F-B8A8-772752A5402B}">
  <ds:schemaRefs>
    <ds:schemaRef ds:uri="http://schemas.openxmlformats.org/officeDocument/2006/bibliography"/>
  </ds:schemaRefs>
</ds:datastoreItem>
</file>

<file path=customXml/itemProps2.xml><?xml version="1.0" encoding="utf-8"?>
<ds:datastoreItem xmlns:ds="http://schemas.openxmlformats.org/officeDocument/2006/customXml" ds:itemID="{C55C3F5B-1D41-4A8D-9EFC-958C10C5EC9F}">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brev</Template>
  <TotalTime>11</TotalTime>
  <Pages>6</Pages>
  <Words>1667</Words>
  <Characters>10786</Characters>
  <Application>Microsoft Office Word</Application>
  <DocSecurity>0</DocSecurity>
  <Lines>89</Lines>
  <Paragraphs>24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blank mal</vt:lpstr>
      <vt:lpstr>blank mal</vt:lpstr>
    </vt:vector>
  </TitlesOfParts>
  <Company>Finans Norge</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mal</dc:title>
  <dc:creator>Gry Nergård</dc:creator>
  <dc:description/>
  <cp:lastModifiedBy>Ann Håkonsen</cp:lastModifiedBy>
  <cp:revision>3</cp:revision>
  <cp:lastPrinted>2009-12-30T12:35:00Z</cp:lastPrinted>
  <dcterms:created xsi:type="dcterms:W3CDTF">2022-11-16T14:33:00Z</dcterms:created>
  <dcterms:modified xsi:type="dcterms:W3CDTF">2022-11-16T14:44:00Z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nlest">
    <vt:lpwstr> </vt:lpwstr>
  </property>
  <property fmtid="{D5CDD505-2E9C-101B-9397-08002B2CF9AE}" pid="3" name="SUBJECT">
    <vt:lpwstr> </vt:lpwstr>
  </property>
  <property fmtid="{D5CDD505-2E9C-101B-9397-08002B2CF9AE}" pid="4" name="OURREF">
    <vt:lpwstr> </vt:lpwstr>
  </property>
  <property fmtid="{D5CDD505-2E9C-101B-9397-08002B2CF9AE}" pid="5" name="OURDATE">
    <vt:lpwstr> </vt:lpwstr>
  </property>
  <property fmtid="{D5CDD505-2E9C-101B-9397-08002B2CF9AE}" pid="6" name="FROM-USERNAME">
    <vt:lpwstr> </vt:lpwstr>
  </property>
  <property fmtid="{D5CDD505-2E9C-101B-9397-08002B2CF9AE}" pid="7" name="FROM-USER-INITIALS">
    <vt:lpwstr> </vt:lpwstr>
  </property>
  <property fmtid="{D5CDD505-2E9C-101B-9397-08002B2CF9AE}" pid="8" name="SHOW">
    <vt:lpwstr> </vt:lpwstr>
  </property>
  <property fmtid="{D5CDD505-2E9C-101B-9397-08002B2CF9AE}" pid="9" name="COPYTO">
    <vt:lpwstr> </vt:lpwstr>
  </property>
  <property fmtid="{D5CDD505-2E9C-101B-9397-08002B2CF9AE}" pid="10" name="SAKSID">
    <vt:lpwstr> </vt:lpwstr>
  </property>
  <property fmtid="{D5CDD505-2E9C-101B-9397-08002B2CF9AE}" pid="11" name="FROM-USERS-TITLE">
    <vt:lpwstr> </vt:lpwstr>
  </property>
  <property fmtid="{D5CDD505-2E9C-101B-9397-08002B2CF9AE}" pid="12" name="SymfoniFileName">
    <vt:lpwstr> </vt:lpwstr>
  </property>
  <property fmtid="{D5CDD505-2E9C-101B-9397-08002B2CF9AE}" pid="13" name="Notat_fra">
    <vt:lpwstr> </vt:lpwstr>
  </property>
  <property fmtid="{D5CDD505-2E9C-101B-9397-08002B2CF9AE}" pid="14" name="FROM-DEPARTMENT">
    <vt:lpwstr> </vt:lpwstr>
  </property>
  <property fmtid="{D5CDD505-2E9C-101B-9397-08002B2CF9AE}" pid="15" name="DEV. BY">
    <vt:lpwstr>addpoint.no</vt:lpwstr>
  </property>
</Properties>
</file>